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D89C" w14:textId="77777777" w:rsidR="003A1E3E" w:rsidRPr="00575FE1" w:rsidRDefault="003A1E3E" w:rsidP="000B782E">
      <w:pPr>
        <w:spacing w:after="0" w:line="300" w:lineRule="auto"/>
        <w:contextualSpacing/>
        <w:rPr>
          <w:rFonts w:cstheme="minorHAnsi"/>
          <w:b/>
        </w:rPr>
      </w:pPr>
      <w:r w:rsidRPr="00575FE1">
        <w:rPr>
          <w:rFonts w:cstheme="minorHAnsi"/>
          <w:b/>
        </w:rPr>
        <w:t>REGULAMIN PISEMNEGO PRZETARGU NIEOGRANICZONEGO</w:t>
      </w:r>
    </w:p>
    <w:p w14:paraId="5C9DCC70" w14:textId="7979754F" w:rsidR="0088373A" w:rsidRPr="00BA1620" w:rsidRDefault="003A1E3E" w:rsidP="000B782E">
      <w:pPr>
        <w:spacing w:after="0" w:line="300" w:lineRule="auto"/>
        <w:contextualSpacing/>
        <w:rPr>
          <w:rFonts w:cstheme="minorHAnsi"/>
          <w:bCs/>
        </w:rPr>
      </w:pPr>
      <w:r w:rsidRPr="00BA1620">
        <w:rPr>
          <w:rFonts w:cstheme="minorHAnsi"/>
          <w:bCs/>
        </w:rPr>
        <w:t xml:space="preserve">na zbycie samochodu służbowego stanowiącego własność m.st. Warszawy Dzielnicy </w:t>
      </w:r>
      <w:r w:rsidR="00276366">
        <w:rPr>
          <w:rFonts w:cstheme="minorHAnsi"/>
          <w:bCs/>
        </w:rPr>
        <w:t>Ursynów</w:t>
      </w:r>
      <w:r w:rsidRPr="00BA1620">
        <w:rPr>
          <w:rFonts w:cstheme="minorHAnsi"/>
          <w:bCs/>
        </w:rPr>
        <w:t>.</w:t>
      </w:r>
    </w:p>
    <w:p w14:paraId="5C57F1B1" w14:textId="77777777" w:rsidR="00575FE1" w:rsidRDefault="00575FE1" w:rsidP="000B782E">
      <w:pPr>
        <w:spacing w:after="0" w:line="300" w:lineRule="auto"/>
        <w:contextualSpacing/>
        <w:rPr>
          <w:rFonts w:cstheme="minorHAnsi"/>
        </w:rPr>
      </w:pPr>
    </w:p>
    <w:p w14:paraId="2CB8D262" w14:textId="4396538F" w:rsidR="0088373A" w:rsidRPr="00575FE1" w:rsidRDefault="0088373A" w:rsidP="000B782E">
      <w:pPr>
        <w:spacing w:after="0" w:line="300" w:lineRule="auto"/>
        <w:contextualSpacing/>
        <w:rPr>
          <w:rFonts w:cstheme="minorHAnsi"/>
          <w:color w:val="FF0000"/>
        </w:rPr>
      </w:pPr>
      <w:r w:rsidRPr="00575FE1">
        <w:rPr>
          <w:rFonts w:cstheme="minorHAnsi"/>
        </w:rPr>
        <w:t>Regulamin określa zasady przetargu na sprzedaż samochod</w:t>
      </w:r>
      <w:r w:rsidR="00232B81" w:rsidRPr="00575FE1">
        <w:rPr>
          <w:rFonts w:cstheme="minorHAnsi"/>
        </w:rPr>
        <w:t>u</w:t>
      </w:r>
      <w:r w:rsidRPr="00575FE1">
        <w:rPr>
          <w:rFonts w:cstheme="minorHAnsi"/>
        </w:rPr>
        <w:t xml:space="preserve"> służbow</w:t>
      </w:r>
      <w:r w:rsidR="00232B81" w:rsidRPr="00575FE1">
        <w:rPr>
          <w:rFonts w:cstheme="minorHAnsi"/>
        </w:rPr>
        <w:t>ego</w:t>
      </w:r>
      <w:r w:rsidRPr="00575FE1">
        <w:rPr>
          <w:rFonts w:cstheme="minorHAnsi"/>
        </w:rPr>
        <w:t>, stanowiąc</w:t>
      </w:r>
      <w:r w:rsidR="00232B81" w:rsidRPr="00575FE1">
        <w:rPr>
          <w:rFonts w:cstheme="minorHAnsi"/>
        </w:rPr>
        <w:t>ego</w:t>
      </w:r>
      <w:r w:rsidR="00187CD7" w:rsidRPr="00575FE1">
        <w:rPr>
          <w:rFonts w:cstheme="minorHAnsi"/>
        </w:rPr>
        <w:t xml:space="preserve"> własność m.st. Warszawy.</w:t>
      </w:r>
    </w:p>
    <w:p w14:paraId="496BD071" w14:textId="77777777" w:rsidR="0088373A" w:rsidRPr="00575FE1" w:rsidRDefault="0088373A" w:rsidP="000B782E">
      <w:pPr>
        <w:spacing w:after="0" w:line="300" w:lineRule="auto"/>
        <w:contextualSpacing/>
        <w:rPr>
          <w:rFonts w:cstheme="minorHAnsi"/>
        </w:rPr>
      </w:pPr>
    </w:p>
    <w:p w14:paraId="48286CE5" w14:textId="77777777" w:rsidR="0088373A" w:rsidRPr="00575FE1" w:rsidRDefault="0088373A" w:rsidP="000B782E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1</w:t>
      </w:r>
    </w:p>
    <w:p w14:paraId="51E671F8" w14:textId="22A6E351" w:rsidR="0088373A" w:rsidRPr="00575FE1" w:rsidRDefault="0088373A" w:rsidP="000B782E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 xml:space="preserve">Czynności związane z przeprowadzeniem przetargu w imieniu Miasta Stołecznego Warszawy Dzielnicy </w:t>
      </w:r>
      <w:r w:rsidR="00276366">
        <w:rPr>
          <w:rFonts w:cstheme="minorHAnsi"/>
        </w:rPr>
        <w:t>Ursynów</w:t>
      </w:r>
      <w:r w:rsidR="003A1E3E" w:rsidRPr="00575FE1">
        <w:rPr>
          <w:rFonts w:cstheme="minorHAnsi"/>
        </w:rPr>
        <w:t xml:space="preserve"> </w:t>
      </w:r>
      <w:r w:rsidRPr="00575FE1">
        <w:rPr>
          <w:rFonts w:cstheme="minorHAnsi"/>
        </w:rPr>
        <w:t xml:space="preserve">(dalej organizator przetargu) wykonuje Komisja Przetargowa, powołana przez Burmistrza Dzielnicy </w:t>
      </w:r>
      <w:r w:rsidR="00276366" w:rsidRPr="00276366">
        <w:rPr>
          <w:rFonts w:cstheme="minorHAnsi"/>
        </w:rPr>
        <w:t>Ursynów</w:t>
      </w:r>
      <w:r w:rsidRPr="00575FE1">
        <w:rPr>
          <w:rFonts w:cstheme="minorHAnsi"/>
        </w:rPr>
        <w:t>.</w:t>
      </w:r>
    </w:p>
    <w:p w14:paraId="28ECBE32" w14:textId="292721A3" w:rsidR="00F353BA" w:rsidRDefault="0088373A" w:rsidP="000B782E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W przetargu nie mogą uczestniczyć osoby wchodzące w skład Komisji Przetargowej</w:t>
      </w:r>
      <w:r w:rsidR="00B60F45">
        <w:t>, a także ich małżonkowie, osoby znajdujące się z nimi w stosunku pokrewieństwa lub powinowactwa w linii prostej, pokrewieństwa lub powinowactwa w linii bocznej do drugiego stopnia oraz osoby związane z osobą wchodzącą w skład Komisji z tytułu przysposobienia, opieki lub kurateli.</w:t>
      </w:r>
      <w:r w:rsidRPr="00575FE1">
        <w:rPr>
          <w:rFonts w:cstheme="minorHAnsi"/>
        </w:rPr>
        <w:t xml:space="preserve"> oraz ich małżonkowie, zstępni, wstępni i rodzeństwo.</w:t>
      </w:r>
    </w:p>
    <w:p w14:paraId="3A40203B" w14:textId="77777777" w:rsidR="00BA1620" w:rsidRPr="00575FE1" w:rsidRDefault="00BA1620" w:rsidP="000B782E">
      <w:pPr>
        <w:pStyle w:val="Akapitzlist"/>
        <w:spacing w:after="0" w:line="300" w:lineRule="auto"/>
        <w:rPr>
          <w:rFonts w:cstheme="minorHAnsi"/>
        </w:rPr>
      </w:pPr>
    </w:p>
    <w:p w14:paraId="1D493C5D" w14:textId="77777777" w:rsidR="0088373A" w:rsidRPr="00575FE1" w:rsidRDefault="00F353BA" w:rsidP="000B782E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2</w:t>
      </w:r>
    </w:p>
    <w:p w14:paraId="1D9D781B" w14:textId="35A8FE10" w:rsidR="00A1027F" w:rsidRDefault="00A1027F" w:rsidP="000B782E">
      <w:pPr>
        <w:pStyle w:val="Akapitzlist"/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Przed ogłoszeniem przetargu usta</w:t>
      </w:r>
      <w:r w:rsidR="00844EFE" w:rsidRPr="00575FE1">
        <w:rPr>
          <w:rFonts w:cstheme="minorHAnsi"/>
        </w:rPr>
        <w:t>la się cenę oszacowania pojazdu</w:t>
      </w:r>
      <w:r w:rsidR="00AF47DF" w:rsidRPr="00575FE1">
        <w:rPr>
          <w:rFonts w:cstheme="minorHAnsi"/>
        </w:rPr>
        <w:t xml:space="preserve"> przy uwzględnieniu jego</w:t>
      </w:r>
      <w:r w:rsidRPr="00575FE1">
        <w:rPr>
          <w:rFonts w:cstheme="minorHAnsi"/>
        </w:rPr>
        <w:t xml:space="preserve"> aktualnej wartości rynkowej</w:t>
      </w:r>
      <w:r w:rsidR="00D31F17" w:rsidRPr="00575FE1">
        <w:rPr>
          <w:rFonts w:cstheme="minorHAnsi"/>
        </w:rPr>
        <w:t xml:space="preserve"> z uwzględnieniem stopnia zużycia.</w:t>
      </w:r>
    </w:p>
    <w:p w14:paraId="22430D7D" w14:textId="77777777" w:rsidR="00BA1620" w:rsidRPr="00575FE1" w:rsidRDefault="00BA1620" w:rsidP="000B782E">
      <w:pPr>
        <w:pStyle w:val="Akapitzlist"/>
        <w:spacing w:after="0" w:line="300" w:lineRule="auto"/>
        <w:rPr>
          <w:rFonts w:cstheme="minorHAnsi"/>
        </w:rPr>
      </w:pPr>
    </w:p>
    <w:p w14:paraId="3D155FC0" w14:textId="77777777" w:rsidR="001E77C5" w:rsidRPr="00575FE1" w:rsidRDefault="001E77C5" w:rsidP="000B782E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3</w:t>
      </w:r>
    </w:p>
    <w:p w14:paraId="78072E93" w14:textId="77777777" w:rsidR="001E77C5" w:rsidRPr="00575FE1" w:rsidRDefault="001E77C5" w:rsidP="000B782E">
      <w:pPr>
        <w:pStyle w:val="Akapitzlist"/>
        <w:numPr>
          <w:ilvl w:val="0"/>
          <w:numId w:val="3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Cena wywoławcza nie może być niższa niż cena oszacowania.</w:t>
      </w:r>
    </w:p>
    <w:p w14:paraId="4692B7D6" w14:textId="77777777" w:rsidR="001E77C5" w:rsidRDefault="001E77C5" w:rsidP="000B782E">
      <w:pPr>
        <w:pStyle w:val="Akapitzlist"/>
        <w:numPr>
          <w:ilvl w:val="0"/>
          <w:numId w:val="3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Sprzedaż nie może nastąpić za cenę niższą od ceny wywoławczej, chyba że zachodzi przypadek przewidziany w § 1</w:t>
      </w:r>
      <w:r w:rsidR="000444D9" w:rsidRPr="00575FE1">
        <w:rPr>
          <w:rFonts w:cstheme="minorHAnsi"/>
        </w:rPr>
        <w:t>3</w:t>
      </w:r>
      <w:r w:rsidRPr="00575FE1">
        <w:rPr>
          <w:rFonts w:cstheme="minorHAnsi"/>
        </w:rPr>
        <w:t>.</w:t>
      </w:r>
    </w:p>
    <w:p w14:paraId="2AA93626" w14:textId="77777777" w:rsidR="007D4A9E" w:rsidRPr="00575FE1" w:rsidRDefault="007D4A9E" w:rsidP="007D4A9E">
      <w:pPr>
        <w:pStyle w:val="Akapitzlist"/>
        <w:spacing w:after="0" w:line="300" w:lineRule="auto"/>
        <w:rPr>
          <w:rFonts w:cstheme="minorHAnsi"/>
        </w:rPr>
      </w:pPr>
    </w:p>
    <w:p w14:paraId="05A35F18" w14:textId="77777777" w:rsidR="00392371" w:rsidRPr="00575FE1" w:rsidRDefault="00971169" w:rsidP="000B782E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4</w:t>
      </w:r>
    </w:p>
    <w:p w14:paraId="6783C0BB" w14:textId="3F09B480" w:rsidR="00392371" w:rsidRPr="00575FE1" w:rsidRDefault="00392371" w:rsidP="000B782E">
      <w:pPr>
        <w:pStyle w:val="Akapitzlist"/>
        <w:numPr>
          <w:ilvl w:val="0"/>
          <w:numId w:val="5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 xml:space="preserve">O planowanym przetargu i jego terminie Urząd Dzielnicy </w:t>
      </w:r>
      <w:r w:rsidR="00276366" w:rsidRPr="00276366">
        <w:rPr>
          <w:rFonts w:cstheme="minorHAnsi"/>
        </w:rPr>
        <w:t xml:space="preserve">Ursynów </w:t>
      </w:r>
      <w:r w:rsidRPr="00575FE1">
        <w:rPr>
          <w:rFonts w:cstheme="minorHAnsi"/>
        </w:rPr>
        <w:t>informuje poprzez o</w:t>
      </w:r>
      <w:r w:rsidR="00D31F17" w:rsidRPr="00575FE1">
        <w:rPr>
          <w:rFonts w:cstheme="minorHAnsi"/>
        </w:rPr>
        <w:t>głoszenie</w:t>
      </w:r>
      <w:r w:rsidRPr="00575FE1">
        <w:rPr>
          <w:rFonts w:cstheme="minorHAnsi"/>
        </w:rPr>
        <w:t xml:space="preserve"> o przetargu.</w:t>
      </w:r>
    </w:p>
    <w:p w14:paraId="4485BBCC" w14:textId="14FF7880" w:rsidR="00392371" w:rsidRPr="00575FE1" w:rsidRDefault="00392371" w:rsidP="000B782E">
      <w:pPr>
        <w:pStyle w:val="Akapitzlist"/>
        <w:numPr>
          <w:ilvl w:val="0"/>
          <w:numId w:val="5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Termin przetargu wyznacza się tak, aby między datą o</w:t>
      </w:r>
      <w:r w:rsidR="00D31F17" w:rsidRPr="00575FE1">
        <w:rPr>
          <w:rFonts w:cstheme="minorHAnsi"/>
        </w:rPr>
        <w:t>głoszenia</w:t>
      </w:r>
      <w:r w:rsidRPr="00575FE1">
        <w:rPr>
          <w:rFonts w:cstheme="minorHAnsi"/>
        </w:rPr>
        <w:t xml:space="preserve"> o przetargu, a terminem przetargu</w:t>
      </w:r>
      <w:r w:rsidR="00907468" w:rsidRPr="00575FE1">
        <w:rPr>
          <w:rFonts w:cstheme="minorHAnsi"/>
        </w:rPr>
        <w:t xml:space="preserve"> upłynęło co najmniej 14</w:t>
      </w:r>
      <w:r w:rsidRPr="00575FE1">
        <w:rPr>
          <w:rFonts w:cstheme="minorHAnsi"/>
        </w:rPr>
        <w:t xml:space="preserve"> dni.</w:t>
      </w:r>
    </w:p>
    <w:p w14:paraId="5982503B" w14:textId="4EF9DCA9" w:rsidR="00392371" w:rsidRPr="00575FE1" w:rsidRDefault="00392371" w:rsidP="007D4A9E">
      <w:pPr>
        <w:pStyle w:val="Akapitzlist"/>
        <w:numPr>
          <w:ilvl w:val="0"/>
          <w:numId w:val="5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Obwieszczenie o przetargu z</w:t>
      </w:r>
      <w:r w:rsidR="006711CD" w:rsidRPr="00575FE1">
        <w:rPr>
          <w:rFonts w:cstheme="minorHAnsi"/>
        </w:rPr>
        <w:t xml:space="preserve">amieszcza się na stronie internetowej Urzędu Dzielnicy </w:t>
      </w:r>
      <w:r w:rsidR="00D31F17" w:rsidRPr="00575FE1">
        <w:rPr>
          <w:rFonts w:cstheme="minorHAnsi"/>
        </w:rPr>
        <w:t>Białołęka</w:t>
      </w:r>
      <w:r w:rsidR="00344F1C" w:rsidRPr="00575FE1">
        <w:rPr>
          <w:rFonts w:cstheme="minorHAnsi"/>
        </w:rPr>
        <w:t xml:space="preserve">, na </w:t>
      </w:r>
      <w:r w:rsidR="006711CD" w:rsidRPr="00575FE1">
        <w:rPr>
          <w:rFonts w:cstheme="minorHAnsi"/>
        </w:rPr>
        <w:t>elektronicznej tablicy ogłoszeń</w:t>
      </w:r>
      <w:r w:rsidR="00D74424">
        <w:rPr>
          <w:rFonts w:cstheme="minorHAnsi"/>
        </w:rPr>
        <w:t xml:space="preserve"> </w:t>
      </w:r>
      <w:r w:rsidR="0047097E" w:rsidRPr="00575FE1">
        <w:rPr>
          <w:rFonts w:cstheme="minorHAnsi"/>
        </w:rPr>
        <w:t xml:space="preserve">oraz </w:t>
      </w:r>
      <w:r w:rsidR="007D4A9E" w:rsidRPr="007D4A9E">
        <w:rPr>
          <w:rFonts w:cstheme="minorHAnsi"/>
        </w:rPr>
        <w:t>Biuletynie Informacji Publicznej m.st. Warszawy</w:t>
      </w:r>
      <w:r w:rsidR="006711CD" w:rsidRPr="00575FE1">
        <w:rPr>
          <w:rFonts w:cstheme="minorHAnsi"/>
        </w:rPr>
        <w:t>.</w:t>
      </w:r>
    </w:p>
    <w:p w14:paraId="5B4B364D" w14:textId="7B4E3CAF" w:rsidR="00D1111C" w:rsidRPr="00BA1620" w:rsidRDefault="00BC1D05" w:rsidP="000B782E">
      <w:pPr>
        <w:pStyle w:val="Akapitzlist"/>
        <w:numPr>
          <w:ilvl w:val="0"/>
          <w:numId w:val="5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 xml:space="preserve">Organizator przetargu nie ponosi odpowiedzialności za </w:t>
      </w:r>
      <w:r w:rsidR="00491FE9" w:rsidRPr="00575FE1">
        <w:rPr>
          <w:rFonts w:cstheme="minorHAnsi"/>
        </w:rPr>
        <w:t xml:space="preserve">stan techniczny, </w:t>
      </w:r>
      <w:r w:rsidRPr="00575FE1">
        <w:rPr>
          <w:rFonts w:cstheme="minorHAnsi"/>
        </w:rPr>
        <w:t xml:space="preserve">braki i wady ukryte </w:t>
      </w:r>
      <w:r w:rsidR="00491FE9" w:rsidRPr="00575FE1">
        <w:rPr>
          <w:rFonts w:cstheme="minorHAnsi"/>
        </w:rPr>
        <w:t xml:space="preserve">przedmiotu przetargu </w:t>
      </w:r>
      <w:r w:rsidRPr="00575FE1">
        <w:rPr>
          <w:rFonts w:cstheme="minorHAnsi"/>
        </w:rPr>
        <w:t>oraz zastrzega sobie prawo unieważnienia przetargu bez podawania przyczyny.</w:t>
      </w:r>
    </w:p>
    <w:p w14:paraId="47398F24" w14:textId="77777777" w:rsidR="00BA1620" w:rsidRDefault="00BA1620" w:rsidP="000B782E">
      <w:pPr>
        <w:pStyle w:val="Akapitzlist"/>
        <w:spacing w:after="0" w:line="300" w:lineRule="auto"/>
        <w:rPr>
          <w:rFonts w:cstheme="minorHAnsi"/>
        </w:rPr>
      </w:pPr>
    </w:p>
    <w:p w14:paraId="6F6F0D7F" w14:textId="0A750B27" w:rsidR="00BC1D05" w:rsidRPr="00575FE1" w:rsidRDefault="00D1111C" w:rsidP="007D4A9E">
      <w:pPr>
        <w:pStyle w:val="Akapitzlist"/>
        <w:spacing w:after="0" w:line="300" w:lineRule="auto"/>
        <w:jc w:val="center"/>
        <w:rPr>
          <w:rFonts w:cstheme="minorHAnsi"/>
        </w:rPr>
      </w:pPr>
      <w:r w:rsidRPr="00575FE1">
        <w:rPr>
          <w:rFonts w:cstheme="minorHAnsi"/>
        </w:rPr>
        <w:t>§ 5</w:t>
      </w:r>
    </w:p>
    <w:p w14:paraId="1265C610" w14:textId="77777777" w:rsidR="00BC1D05" w:rsidRPr="00575FE1" w:rsidRDefault="00BC1D05" w:rsidP="000B782E">
      <w:pPr>
        <w:pStyle w:val="Akapitzlist"/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Obwieszczenie o przetargu określa w szczególności:</w:t>
      </w:r>
    </w:p>
    <w:p w14:paraId="656C1047" w14:textId="77777777" w:rsidR="00BC1D05" w:rsidRPr="00575FE1" w:rsidRDefault="00B25FAE" w:rsidP="000B782E">
      <w:pPr>
        <w:pStyle w:val="Akapitzlist"/>
        <w:numPr>
          <w:ilvl w:val="0"/>
          <w:numId w:val="6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n</w:t>
      </w:r>
      <w:r w:rsidR="00BC1D05" w:rsidRPr="00575FE1">
        <w:rPr>
          <w:rFonts w:cstheme="minorHAnsi"/>
        </w:rPr>
        <w:t>azwę i siedzibę organizatora przetargu,</w:t>
      </w:r>
    </w:p>
    <w:p w14:paraId="7DB96408" w14:textId="77777777" w:rsidR="00BC1D05" w:rsidRPr="00575FE1" w:rsidRDefault="00B25FAE" w:rsidP="000B782E">
      <w:pPr>
        <w:pStyle w:val="Akapitzlist"/>
        <w:numPr>
          <w:ilvl w:val="0"/>
          <w:numId w:val="6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m</w:t>
      </w:r>
      <w:r w:rsidR="001106B4" w:rsidRPr="00575FE1">
        <w:rPr>
          <w:rFonts w:cstheme="minorHAnsi"/>
        </w:rPr>
        <w:t>iejsce i termin otwarcia ofert</w:t>
      </w:r>
      <w:r w:rsidR="00BC1D05" w:rsidRPr="00575FE1">
        <w:rPr>
          <w:rFonts w:cstheme="minorHAnsi"/>
        </w:rPr>
        <w:t>,</w:t>
      </w:r>
    </w:p>
    <w:p w14:paraId="4C3F8ADB" w14:textId="77777777" w:rsidR="00BC1D05" w:rsidRPr="00575FE1" w:rsidRDefault="00B25FAE" w:rsidP="000B782E">
      <w:pPr>
        <w:pStyle w:val="Akapitzlist"/>
        <w:numPr>
          <w:ilvl w:val="0"/>
          <w:numId w:val="6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m</w:t>
      </w:r>
      <w:r w:rsidR="00BC1D05" w:rsidRPr="00575FE1">
        <w:rPr>
          <w:rFonts w:cstheme="minorHAnsi"/>
        </w:rPr>
        <w:t>iejsce i termin, w którym</w:t>
      </w:r>
      <w:r w:rsidR="00D1111C" w:rsidRPr="00575FE1">
        <w:rPr>
          <w:rFonts w:cstheme="minorHAnsi"/>
        </w:rPr>
        <w:t xml:space="preserve"> można obejrzeć pojazd</w:t>
      </w:r>
      <w:r w:rsidR="0028221E" w:rsidRPr="00575FE1">
        <w:rPr>
          <w:rFonts w:cstheme="minorHAnsi"/>
        </w:rPr>
        <w:t xml:space="preserve"> zbywan</w:t>
      </w:r>
      <w:r w:rsidR="00D1111C" w:rsidRPr="00575FE1">
        <w:rPr>
          <w:rFonts w:cstheme="minorHAnsi"/>
        </w:rPr>
        <w:t>y</w:t>
      </w:r>
      <w:r w:rsidR="0028221E" w:rsidRPr="00575FE1">
        <w:rPr>
          <w:rFonts w:cstheme="minorHAnsi"/>
        </w:rPr>
        <w:t xml:space="preserve"> w drodze przetargu,</w:t>
      </w:r>
    </w:p>
    <w:p w14:paraId="3CBEC874" w14:textId="77777777" w:rsidR="0028221E" w:rsidRPr="00575FE1" w:rsidRDefault="00B25FAE" w:rsidP="000B782E">
      <w:pPr>
        <w:pStyle w:val="Akapitzlist"/>
        <w:numPr>
          <w:ilvl w:val="0"/>
          <w:numId w:val="6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lastRenderedPageBreak/>
        <w:t>o</w:t>
      </w:r>
      <w:r w:rsidR="00CA11B8" w:rsidRPr="00575FE1">
        <w:rPr>
          <w:rFonts w:cstheme="minorHAnsi"/>
        </w:rPr>
        <w:t>pis zbywan</w:t>
      </w:r>
      <w:r w:rsidR="00D1111C" w:rsidRPr="00575FE1">
        <w:rPr>
          <w:rFonts w:cstheme="minorHAnsi"/>
        </w:rPr>
        <w:t>ego</w:t>
      </w:r>
      <w:r w:rsidR="00CA11B8" w:rsidRPr="00575FE1">
        <w:rPr>
          <w:rFonts w:cstheme="minorHAnsi"/>
        </w:rPr>
        <w:t xml:space="preserve"> w </w:t>
      </w:r>
      <w:r w:rsidR="00D1111C" w:rsidRPr="00575FE1">
        <w:rPr>
          <w:rFonts w:cstheme="minorHAnsi"/>
        </w:rPr>
        <w:t>drodze przetargu pojazdu</w:t>
      </w:r>
      <w:r w:rsidR="00CA11B8" w:rsidRPr="00575FE1">
        <w:rPr>
          <w:rFonts w:cstheme="minorHAnsi"/>
        </w:rPr>
        <w:t>,</w:t>
      </w:r>
    </w:p>
    <w:p w14:paraId="7E1CDC42" w14:textId="77777777" w:rsidR="00D1111C" w:rsidRPr="00575FE1" w:rsidRDefault="00B25FAE" w:rsidP="000B782E">
      <w:pPr>
        <w:pStyle w:val="Akapitzlist"/>
        <w:numPr>
          <w:ilvl w:val="0"/>
          <w:numId w:val="6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w</w:t>
      </w:r>
      <w:r w:rsidR="00CA11B8" w:rsidRPr="00575FE1">
        <w:rPr>
          <w:rFonts w:cstheme="minorHAnsi"/>
        </w:rPr>
        <w:t>y</w:t>
      </w:r>
      <w:r w:rsidR="00D1111C" w:rsidRPr="00575FE1">
        <w:rPr>
          <w:rFonts w:cstheme="minorHAnsi"/>
        </w:rPr>
        <w:t>sokość ceny wywoławczej pojazdu</w:t>
      </w:r>
      <w:r w:rsidR="00CA11B8" w:rsidRPr="00575FE1">
        <w:rPr>
          <w:rFonts w:cstheme="minorHAnsi"/>
        </w:rPr>
        <w:t xml:space="preserve">, </w:t>
      </w:r>
    </w:p>
    <w:p w14:paraId="343AD32D" w14:textId="77777777" w:rsidR="00CA11B8" w:rsidRDefault="00B25FAE" w:rsidP="000B782E">
      <w:pPr>
        <w:pStyle w:val="Akapitzlist"/>
        <w:numPr>
          <w:ilvl w:val="0"/>
          <w:numId w:val="6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m</w:t>
      </w:r>
      <w:r w:rsidR="00CA11B8" w:rsidRPr="00575FE1">
        <w:rPr>
          <w:rFonts w:cstheme="minorHAnsi"/>
        </w:rPr>
        <w:t>iejsce i termin złożenia zamkniętych kopert zawierających: podpisaną pisemną of</w:t>
      </w:r>
      <w:r w:rsidR="00D1111C" w:rsidRPr="00575FE1">
        <w:rPr>
          <w:rFonts w:cstheme="minorHAnsi"/>
        </w:rPr>
        <w:t>ertę cenową, o której mowa w § 7</w:t>
      </w:r>
      <w:r w:rsidR="00CA11B8" w:rsidRPr="00575FE1">
        <w:rPr>
          <w:rFonts w:cstheme="minorHAnsi"/>
        </w:rPr>
        <w:t xml:space="preserve">. </w:t>
      </w:r>
    </w:p>
    <w:p w14:paraId="388F150A" w14:textId="77777777" w:rsidR="007D4A9E" w:rsidRPr="00575FE1" w:rsidRDefault="007D4A9E" w:rsidP="007D4A9E">
      <w:pPr>
        <w:pStyle w:val="Akapitzlist"/>
        <w:spacing w:after="0" w:line="300" w:lineRule="auto"/>
        <w:ind w:left="1080"/>
        <w:rPr>
          <w:rFonts w:cstheme="minorHAnsi"/>
        </w:rPr>
      </w:pPr>
    </w:p>
    <w:p w14:paraId="4FC44149" w14:textId="77777777" w:rsidR="00D40BD4" w:rsidRPr="00575FE1" w:rsidRDefault="00D1111C" w:rsidP="007D4A9E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6</w:t>
      </w:r>
    </w:p>
    <w:p w14:paraId="3709627D" w14:textId="3A3BCD7A" w:rsidR="00D40BD4" w:rsidRPr="00575FE1" w:rsidRDefault="00D40BD4" w:rsidP="000B782E">
      <w:pPr>
        <w:pStyle w:val="Akapitzlist"/>
        <w:numPr>
          <w:ilvl w:val="0"/>
          <w:numId w:val="7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Oferty należy składać w zamkniętych kopertach w siedzibie</w:t>
      </w:r>
      <w:r w:rsidR="002F2F77" w:rsidRPr="00575FE1">
        <w:rPr>
          <w:rFonts w:cstheme="minorHAnsi"/>
        </w:rPr>
        <w:t xml:space="preserve"> Urzędu Dzielnicy </w:t>
      </w:r>
      <w:r w:rsidR="00276366" w:rsidRPr="00276366">
        <w:rPr>
          <w:rFonts w:cstheme="minorHAnsi"/>
        </w:rPr>
        <w:t>Ursynów</w:t>
      </w:r>
      <w:r w:rsidR="00D74424">
        <w:rPr>
          <w:rFonts w:cstheme="minorHAnsi"/>
        </w:rPr>
        <w:br/>
      </w:r>
      <w:r w:rsidR="002F2F77" w:rsidRPr="00575FE1">
        <w:rPr>
          <w:rFonts w:cstheme="minorHAnsi"/>
        </w:rPr>
        <w:t xml:space="preserve">m.st. Warszawy, przy </w:t>
      </w:r>
      <w:r w:rsidR="00276366">
        <w:rPr>
          <w:rFonts w:cstheme="minorHAnsi"/>
        </w:rPr>
        <w:t>a</w:t>
      </w:r>
      <w:r w:rsidR="0047097E" w:rsidRPr="00575FE1">
        <w:rPr>
          <w:rFonts w:cstheme="minorHAnsi"/>
        </w:rPr>
        <w:t xml:space="preserve">l. </w:t>
      </w:r>
      <w:r w:rsidR="00276366">
        <w:rPr>
          <w:rFonts w:cstheme="minorHAnsi"/>
        </w:rPr>
        <w:t>Komisji Edukacji Narodowej 61</w:t>
      </w:r>
      <w:r w:rsidR="002F2F77" w:rsidRPr="00575FE1">
        <w:rPr>
          <w:rFonts w:cstheme="minorHAnsi"/>
        </w:rPr>
        <w:t xml:space="preserve">, </w:t>
      </w:r>
      <w:r w:rsidR="00276366">
        <w:rPr>
          <w:rFonts w:cstheme="minorHAnsi"/>
        </w:rPr>
        <w:t>02-777</w:t>
      </w:r>
      <w:r w:rsidR="002F2F77" w:rsidRPr="00575FE1">
        <w:rPr>
          <w:rFonts w:cstheme="minorHAnsi"/>
        </w:rPr>
        <w:t xml:space="preserve"> Warszawa</w:t>
      </w:r>
      <w:r w:rsidR="007D4A9E">
        <w:rPr>
          <w:rFonts w:cstheme="minorHAnsi"/>
        </w:rPr>
        <w:t xml:space="preserve">, </w:t>
      </w:r>
      <w:r w:rsidR="00CF5DF3" w:rsidRPr="00575FE1">
        <w:rPr>
          <w:rFonts w:cstheme="minorHAnsi"/>
        </w:rPr>
        <w:t xml:space="preserve">w </w:t>
      </w:r>
      <w:r w:rsidR="0047097E" w:rsidRPr="00575FE1">
        <w:rPr>
          <w:rFonts w:cstheme="minorHAnsi"/>
        </w:rPr>
        <w:t xml:space="preserve">Kancelarii </w:t>
      </w:r>
      <w:r w:rsidRPr="00575FE1">
        <w:rPr>
          <w:rFonts w:cstheme="minorHAnsi"/>
        </w:rPr>
        <w:t xml:space="preserve"> </w:t>
      </w:r>
    </w:p>
    <w:p w14:paraId="7E142E7F" w14:textId="702FBFA7" w:rsidR="002F2F77" w:rsidRPr="00575FE1" w:rsidRDefault="002F2F77" w:rsidP="000B782E">
      <w:pPr>
        <w:pStyle w:val="Akapitzlist"/>
        <w:numPr>
          <w:ilvl w:val="0"/>
          <w:numId w:val="7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 xml:space="preserve">W przypadku ofert przesłanych drogą </w:t>
      </w:r>
      <w:r w:rsidR="00BA1620" w:rsidRPr="00575FE1">
        <w:rPr>
          <w:rFonts w:cstheme="minorHAnsi"/>
        </w:rPr>
        <w:t>pocztową</w:t>
      </w:r>
      <w:r w:rsidRPr="00575FE1">
        <w:rPr>
          <w:rFonts w:cstheme="minorHAnsi"/>
        </w:rPr>
        <w:t xml:space="preserve"> jako termin złożenia oferty przyję</w:t>
      </w:r>
      <w:r w:rsidR="00CF5DF3" w:rsidRPr="00575FE1">
        <w:rPr>
          <w:rFonts w:cstheme="minorHAnsi"/>
        </w:rPr>
        <w:t>ty będzie termin doręczenia</w:t>
      </w:r>
      <w:r w:rsidRPr="00575FE1">
        <w:rPr>
          <w:rFonts w:cstheme="minorHAnsi"/>
        </w:rPr>
        <w:t xml:space="preserve"> przesyłki.</w:t>
      </w:r>
    </w:p>
    <w:p w14:paraId="6748BD37" w14:textId="3DCD75B9" w:rsidR="002F2F77" w:rsidRPr="00575FE1" w:rsidRDefault="002F2F77" w:rsidP="000B782E">
      <w:pPr>
        <w:pStyle w:val="Akapitzlist"/>
        <w:numPr>
          <w:ilvl w:val="0"/>
          <w:numId w:val="7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 xml:space="preserve">Oferta zostanie </w:t>
      </w:r>
      <w:r w:rsidR="00BA1620" w:rsidRPr="00575FE1">
        <w:rPr>
          <w:rFonts w:cstheme="minorHAnsi"/>
        </w:rPr>
        <w:t>odrzucona,</w:t>
      </w:r>
      <w:r w:rsidRPr="00575FE1">
        <w:rPr>
          <w:rFonts w:cstheme="minorHAnsi"/>
        </w:rPr>
        <w:t xml:space="preserve"> jeżeli:</w:t>
      </w:r>
    </w:p>
    <w:p w14:paraId="6C8FC337" w14:textId="77777777" w:rsidR="00D1111C" w:rsidRPr="00575FE1" w:rsidRDefault="005567C7" w:rsidP="000B782E">
      <w:pPr>
        <w:pStyle w:val="Akapitzlist"/>
        <w:numPr>
          <w:ilvl w:val="0"/>
          <w:numId w:val="8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z</w:t>
      </w:r>
      <w:r w:rsidR="002F2F77" w:rsidRPr="00575FE1">
        <w:rPr>
          <w:rFonts w:cstheme="minorHAnsi"/>
        </w:rPr>
        <w:t xml:space="preserve">ostała </w:t>
      </w:r>
      <w:r w:rsidR="00D1111C" w:rsidRPr="00575FE1">
        <w:rPr>
          <w:rFonts w:cstheme="minorHAnsi"/>
        </w:rPr>
        <w:t>złożona po wyznaczonym terminie lub</w:t>
      </w:r>
      <w:r w:rsidR="002F2F77" w:rsidRPr="00575FE1">
        <w:rPr>
          <w:rFonts w:cstheme="minorHAnsi"/>
        </w:rPr>
        <w:t xml:space="preserve"> w niewłaściwym miejscu</w:t>
      </w:r>
      <w:r w:rsidR="00D1111C" w:rsidRPr="00575FE1">
        <w:rPr>
          <w:rFonts w:cstheme="minorHAnsi"/>
        </w:rPr>
        <w:t>;</w:t>
      </w:r>
      <w:r w:rsidR="002F2F77" w:rsidRPr="00575FE1">
        <w:rPr>
          <w:rFonts w:cstheme="minorHAnsi"/>
        </w:rPr>
        <w:t xml:space="preserve"> </w:t>
      </w:r>
    </w:p>
    <w:p w14:paraId="18306ADB" w14:textId="36AA1929" w:rsidR="00BA1620" w:rsidRDefault="005567C7" w:rsidP="000B782E">
      <w:pPr>
        <w:pStyle w:val="Akapitzlist"/>
        <w:numPr>
          <w:ilvl w:val="0"/>
          <w:numId w:val="8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n</w:t>
      </w:r>
      <w:r w:rsidR="00CF5DF3" w:rsidRPr="00575FE1">
        <w:rPr>
          <w:rFonts w:cstheme="minorHAnsi"/>
        </w:rPr>
        <w:t>ie zawiera ceny i danych</w:t>
      </w:r>
      <w:r w:rsidR="00D1111C" w:rsidRPr="00575FE1">
        <w:rPr>
          <w:rFonts w:cstheme="minorHAnsi"/>
        </w:rPr>
        <w:t>, o których mowa w § 7</w:t>
      </w:r>
      <w:r w:rsidR="002F2F77" w:rsidRPr="00575FE1">
        <w:rPr>
          <w:rFonts w:cstheme="minorHAnsi"/>
        </w:rPr>
        <w:t xml:space="preserve"> lub są one nie kompletne, nieczytelne lub budzą wątpliwość, zaś złożenie wyjaśnień mogłoby prowadzić do uznania jej za nową ofertę.</w:t>
      </w:r>
    </w:p>
    <w:p w14:paraId="3677F0DF" w14:textId="1C88C0CC" w:rsidR="00E63094" w:rsidRPr="00E63094" w:rsidRDefault="00E63094" w:rsidP="000B782E">
      <w:pPr>
        <w:pStyle w:val="Akapitzlist"/>
        <w:numPr>
          <w:ilvl w:val="0"/>
          <w:numId w:val="8"/>
        </w:numPr>
        <w:spacing w:after="0" w:line="300" w:lineRule="auto"/>
        <w:rPr>
          <w:rFonts w:cstheme="minorHAnsi"/>
        </w:rPr>
      </w:pPr>
      <w:r w:rsidRPr="00E63094">
        <w:rPr>
          <w:rFonts w:cstheme="minorHAnsi"/>
        </w:rPr>
        <w:t>jest niezgodna z treścią Ogłoszenia lub treścią zarządzenia,</w:t>
      </w:r>
    </w:p>
    <w:p w14:paraId="631EAF4C" w14:textId="390E3248" w:rsidR="00E63094" w:rsidRPr="00E63094" w:rsidRDefault="00E63094" w:rsidP="000B782E">
      <w:pPr>
        <w:pStyle w:val="Akapitzlist"/>
        <w:numPr>
          <w:ilvl w:val="0"/>
          <w:numId w:val="8"/>
        </w:numPr>
        <w:spacing w:after="0" w:line="300" w:lineRule="auto"/>
        <w:rPr>
          <w:rFonts w:cstheme="minorHAnsi"/>
        </w:rPr>
      </w:pPr>
      <w:r w:rsidRPr="00E63094">
        <w:rPr>
          <w:rFonts w:cstheme="minorHAnsi"/>
        </w:rPr>
        <w:t>nie została podpisana przez oferenta lub osobę upoważnioną do jego reprezentowania,</w:t>
      </w:r>
    </w:p>
    <w:p w14:paraId="2B2A2E29" w14:textId="4C22A7EE" w:rsidR="00E63094" w:rsidRDefault="00E63094" w:rsidP="000B782E">
      <w:pPr>
        <w:pStyle w:val="Akapitzlist"/>
        <w:numPr>
          <w:ilvl w:val="0"/>
          <w:numId w:val="8"/>
        </w:numPr>
        <w:spacing w:after="0" w:line="300" w:lineRule="auto"/>
        <w:rPr>
          <w:rFonts w:cstheme="minorHAnsi"/>
        </w:rPr>
      </w:pPr>
      <w:r w:rsidRPr="00E63094">
        <w:rPr>
          <w:rFonts w:cstheme="minorHAnsi"/>
        </w:rPr>
        <w:t>wskazuje cenę nabycia niższą od ceny wywoławczej.</w:t>
      </w:r>
    </w:p>
    <w:p w14:paraId="75138F80" w14:textId="77777777" w:rsidR="00BA1620" w:rsidRPr="00BA1620" w:rsidRDefault="00BA1620" w:rsidP="000B782E">
      <w:pPr>
        <w:pStyle w:val="Akapitzlist"/>
        <w:spacing w:after="0" w:line="300" w:lineRule="auto"/>
        <w:ind w:left="1080"/>
        <w:rPr>
          <w:rFonts w:cstheme="minorHAnsi"/>
        </w:rPr>
      </w:pPr>
    </w:p>
    <w:p w14:paraId="73893868" w14:textId="77777777" w:rsidR="002F2F77" w:rsidRPr="003D3EF7" w:rsidRDefault="00D1111C" w:rsidP="007D4A9E">
      <w:pPr>
        <w:spacing w:after="0" w:line="300" w:lineRule="auto"/>
        <w:contextualSpacing/>
        <w:jc w:val="center"/>
        <w:rPr>
          <w:rFonts w:cstheme="minorHAnsi"/>
        </w:rPr>
      </w:pPr>
      <w:r w:rsidRPr="003D3EF7">
        <w:rPr>
          <w:rFonts w:cstheme="minorHAnsi"/>
        </w:rPr>
        <w:t>§ 7</w:t>
      </w:r>
    </w:p>
    <w:p w14:paraId="7245D5EE" w14:textId="0ED705EF" w:rsidR="002F2F77" w:rsidRPr="003D3EF7" w:rsidRDefault="002F2F77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 w:rsidRPr="003D3EF7">
        <w:rPr>
          <w:rFonts w:cstheme="minorHAnsi"/>
        </w:rPr>
        <w:t xml:space="preserve">Oferta powinna być </w:t>
      </w:r>
      <w:r w:rsidR="008E6745" w:rsidRPr="003D3EF7">
        <w:rPr>
          <w:rFonts w:cstheme="minorHAnsi"/>
        </w:rPr>
        <w:t>złożona na druku stanowiącym załącznik do Zarządzenia nr 1894/2017 Prezydenta m.st. Warszawy z dnia 12.12.2017 r.</w:t>
      </w:r>
      <w:r w:rsidR="000E44E6" w:rsidRPr="003D3EF7">
        <w:rPr>
          <w:rFonts w:cstheme="minorHAnsi"/>
        </w:rPr>
        <w:t xml:space="preserve"> Druk oferty można otrzymać w siedzibie Urzędu Dzielnicy </w:t>
      </w:r>
      <w:r w:rsidR="00276366" w:rsidRPr="003D3EF7">
        <w:rPr>
          <w:rFonts w:cstheme="minorHAnsi"/>
        </w:rPr>
        <w:t>Ursynów</w:t>
      </w:r>
      <w:r w:rsidR="000E44E6" w:rsidRPr="003D3EF7">
        <w:rPr>
          <w:rFonts w:cstheme="minorHAnsi"/>
        </w:rPr>
        <w:t xml:space="preserve"> w pok</w:t>
      </w:r>
      <w:r w:rsidR="003D3EF7" w:rsidRPr="003D3EF7">
        <w:rPr>
          <w:rFonts w:cstheme="minorHAnsi"/>
        </w:rPr>
        <w:t>. 430</w:t>
      </w:r>
      <w:r w:rsidR="000E44E6" w:rsidRPr="003D3EF7">
        <w:rPr>
          <w:rFonts w:cstheme="minorHAnsi"/>
        </w:rPr>
        <w:t xml:space="preserve"> Stanowi on ró</w:t>
      </w:r>
      <w:r w:rsidR="00F74DAB" w:rsidRPr="003D3EF7">
        <w:rPr>
          <w:rFonts w:cstheme="minorHAnsi"/>
        </w:rPr>
        <w:t>wnież załącznik do ogłoszenia o </w:t>
      </w:r>
      <w:r w:rsidR="000E44E6" w:rsidRPr="003D3EF7">
        <w:rPr>
          <w:rFonts w:cstheme="minorHAnsi"/>
        </w:rPr>
        <w:t xml:space="preserve">sprzedaży samochodu zamieszczonego na stronie: </w:t>
      </w:r>
      <w:r w:rsidR="003D3EF7" w:rsidRPr="003D3EF7">
        <w:rPr>
          <w:rFonts w:cstheme="minorHAnsi"/>
        </w:rPr>
        <w:t>https://eto.um.warszawa.pl/</w:t>
      </w:r>
    </w:p>
    <w:p w14:paraId="7C2CF7E1" w14:textId="77777777" w:rsidR="008E6745" w:rsidRPr="00575FE1" w:rsidRDefault="005567C7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Ofertę</w:t>
      </w:r>
      <w:r w:rsidR="008E6745" w:rsidRPr="00575FE1">
        <w:rPr>
          <w:rFonts w:cstheme="minorHAnsi"/>
        </w:rPr>
        <w:t xml:space="preserve"> należy umieścić w kopercie, kopertę zakleić</w:t>
      </w:r>
      <w:r w:rsidRPr="00575FE1">
        <w:rPr>
          <w:rFonts w:cstheme="minorHAnsi"/>
        </w:rPr>
        <w:t xml:space="preserve">, parafować lub ostemplować </w:t>
      </w:r>
      <w:r w:rsidRPr="00575FE1">
        <w:rPr>
          <w:rFonts w:cstheme="minorHAnsi"/>
        </w:rPr>
        <w:br/>
        <w:t xml:space="preserve">w miejscu zaklejenia. Na kopercie należy podać </w:t>
      </w:r>
      <w:r w:rsidR="00CF5DF3" w:rsidRPr="00575FE1">
        <w:rPr>
          <w:rFonts w:cstheme="minorHAnsi"/>
        </w:rPr>
        <w:t xml:space="preserve">imię i nazwisko lub </w:t>
      </w:r>
      <w:r w:rsidRPr="00575FE1">
        <w:rPr>
          <w:rFonts w:cstheme="minorHAnsi"/>
        </w:rPr>
        <w:t>nazwę i adres oferenta.</w:t>
      </w:r>
    </w:p>
    <w:p w14:paraId="642E6CA5" w14:textId="5CFCB545" w:rsidR="005567C7" w:rsidRPr="00575FE1" w:rsidRDefault="005567C7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 xml:space="preserve">Warunkiem przyjęcia oferty jest zaklejenie i opisanie </w:t>
      </w:r>
      <w:r w:rsidR="00BA1620" w:rsidRPr="00575FE1">
        <w:rPr>
          <w:rFonts w:cstheme="minorHAnsi"/>
        </w:rPr>
        <w:t>jw.</w:t>
      </w:r>
    </w:p>
    <w:p w14:paraId="640AE429" w14:textId="77777777" w:rsidR="005567C7" w:rsidRDefault="005567C7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Oferent może złożyć jedną ofertę.</w:t>
      </w:r>
    </w:p>
    <w:p w14:paraId="15C9FFD1" w14:textId="6F0887AF" w:rsidR="0025492B" w:rsidRPr="00575FE1" w:rsidRDefault="0025492B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>
        <w:rPr>
          <w:rFonts w:cstheme="minorHAnsi"/>
        </w:rPr>
        <w:t>O</w:t>
      </w:r>
      <w:r w:rsidRPr="0025492B">
        <w:rPr>
          <w:rFonts w:cstheme="minorHAnsi"/>
        </w:rPr>
        <w:t>ferta oraz inne dokumenty stanowiące załączniki do oferty muszą być sporządzone w języku polskim w formie pisemnej</w:t>
      </w:r>
      <w:r>
        <w:rPr>
          <w:rFonts w:cstheme="minorHAnsi"/>
        </w:rPr>
        <w:t>.</w:t>
      </w:r>
    </w:p>
    <w:p w14:paraId="10DFDA28" w14:textId="77777777" w:rsidR="00046055" w:rsidRDefault="00046055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 w:rsidRPr="00575FE1">
        <w:rPr>
          <w:rFonts w:cstheme="minorHAnsi"/>
        </w:rPr>
        <w:t>T</w:t>
      </w:r>
      <w:r w:rsidR="00D1111C" w:rsidRPr="00575FE1">
        <w:rPr>
          <w:rFonts w:cstheme="minorHAnsi"/>
        </w:rPr>
        <w:t>ermin związania ofertą wynosi 30</w:t>
      </w:r>
      <w:r w:rsidRPr="00575FE1">
        <w:rPr>
          <w:rFonts w:cstheme="minorHAnsi"/>
        </w:rPr>
        <w:t xml:space="preserve"> dni od upływu terminu składania ofert.</w:t>
      </w:r>
    </w:p>
    <w:p w14:paraId="2661DB9C" w14:textId="25E69883" w:rsidR="00B31CDB" w:rsidRDefault="00B31CDB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>
        <w:rPr>
          <w:rFonts w:cstheme="minorHAnsi"/>
        </w:rPr>
        <w:t>W</w:t>
      </w:r>
      <w:r w:rsidRPr="00B31CDB">
        <w:rPr>
          <w:rFonts w:cstheme="minorHAnsi"/>
        </w:rPr>
        <w:t xml:space="preserve"> sytuacji, w której oferent reprezentowany jest w przetargu przez pełnomocnika, do oferty należy załączyć dokument pełnomocnictwa w oryginale lub jego kopię poświadczoną za zgodność z oryginałem przez notariusza</w:t>
      </w:r>
      <w:r w:rsidR="0025492B">
        <w:rPr>
          <w:rFonts w:cstheme="minorHAnsi"/>
        </w:rPr>
        <w:t>.</w:t>
      </w:r>
    </w:p>
    <w:p w14:paraId="304356B4" w14:textId="37AEB3A8" w:rsidR="0025492B" w:rsidRDefault="0025492B" w:rsidP="000B782E">
      <w:pPr>
        <w:pStyle w:val="Akapitzlist"/>
        <w:numPr>
          <w:ilvl w:val="0"/>
          <w:numId w:val="9"/>
        </w:numPr>
        <w:spacing w:after="0" w:line="300" w:lineRule="auto"/>
        <w:rPr>
          <w:rFonts w:cstheme="minorHAnsi"/>
        </w:rPr>
      </w:pPr>
      <w:r>
        <w:rPr>
          <w:rFonts w:cstheme="minorHAnsi"/>
        </w:rPr>
        <w:t>E</w:t>
      </w:r>
      <w:r w:rsidRPr="0025492B">
        <w:rPr>
          <w:rFonts w:cstheme="minorHAnsi"/>
        </w:rPr>
        <w:t>wentualne poprawki w ofercie muszą być naniesione czytelnie i opatrzone podpisem oferenta lub jego pełnomocnika</w:t>
      </w:r>
      <w:r>
        <w:rPr>
          <w:rFonts w:cstheme="minorHAnsi"/>
        </w:rPr>
        <w:t>.</w:t>
      </w:r>
    </w:p>
    <w:p w14:paraId="22B88E93" w14:textId="77777777" w:rsidR="00BA1620" w:rsidRDefault="00BA1620" w:rsidP="000B782E">
      <w:pPr>
        <w:spacing w:after="0" w:line="300" w:lineRule="auto"/>
        <w:contextualSpacing/>
        <w:rPr>
          <w:rFonts w:cstheme="minorHAnsi"/>
        </w:rPr>
      </w:pPr>
    </w:p>
    <w:p w14:paraId="76C0DB2A" w14:textId="778ACBC7" w:rsidR="00046055" w:rsidRPr="00575FE1" w:rsidRDefault="00D1111C" w:rsidP="00F74DAB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8</w:t>
      </w:r>
    </w:p>
    <w:p w14:paraId="0D64E154" w14:textId="3094671F" w:rsidR="00E63094" w:rsidRPr="00E63094" w:rsidRDefault="00E63094" w:rsidP="000B782E">
      <w:pPr>
        <w:pStyle w:val="Akapitzlist"/>
        <w:numPr>
          <w:ilvl w:val="0"/>
          <w:numId w:val="23"/>
        </w:numPr>
        <w:spacing w:after="0" w:line="300" w:lineRule="auto"/>
        <w:rPr>
          <w:rFonts w:cstheme="minorHAnsi"/>
        </w:rPr>
      </w:pPr>
      <w:r w:rsidRPr="00E63094">
        <w:rPr>
          <w:rFonts w:cstheme="minorHAnsi"/>
        </w:rPr>
        <w:t>Podczas części jawnej Komisja:</w:t>
      </w:r>
    </w:p>
    <w:p w14:paraId="113F5350" w14:textId="4A10D6D4" w:rsidR="00E63094" w:rsidRPr="00E63094" w:rsidRDefault="00F74DAB" w:rsidP="000B782E">
      <w:pPr>
        <w:pStyle w:val="Akapitzlist"/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a) </w:t>
      </w:r>
      <w:r w:rsidR="00E63094" w:rsidRPr="00E63094">
        <w:rPr>
          <w:rFonts w:cstheme="minorHAnsi"/>
        </w:rPr>
        <w:t>stwierdza prawidłowość Ogłoszenia,</w:t>
      </w:r>
    </w:p>
    <w:p w14:paraId="456BCF25" w14:textId="59B0E7DC" w:rsidR="00E63094" w:rsidRPr="00E63094" w:rsidRDefault="00F74DAB" w:rsidP="000B782E">
      <w:pPr>
        <w:pStyle w:val="Akapitzlist"/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b) </w:t>
      </w:r>
      <w:r w:rsidR="00E63094" w:rsidRPr="00E63094">
        <w:rPr>
          <w:rFonts w:cstheme="minorHAnsi"/>
        </w:rPr>
        <w:t xml:space="preserve">ustala liczbę złożonych ofert, które wpłynęły </w:t>
      </w:r>
    </w:p>
    <w:p w14:paraId="38C95679" w14:textId="267F1671" w:rsidR="00E63094" w:rsidRPr="00E63094" w:rsidRDefault="00F74DAB" w:rsidP="000B782E">
      <w:pPr>
        <w:pStyle w:val="Akapitzlist"/>
        <w:spacing w:after="0" w:line="300" w:lineRule="auto"/>
        <w:rPr>
          <w:rFonts w:cstheme="minorHAnsi"/>
        </w:rPr>
      </w:pPr>
      <w:r>
        <w:rPr>
          <w:rFonts w:cstheme="minorHAnsi"/>
        </w:rPr>
        <w:lastRenderedPageBreak/>
        <w:t xml:space="preserve">c) </w:t>
      </w:r>
      <w:r w:rsidR="00E63094" w:rsidRPr="00E63094">
        <w:rPr>
          <w:rFonts w:cstheme="minorHAnsi"/>
        </w:rPr>
        <w:t>otwiera koperty z ofertami i kwalifikuje je do części niejawnej przetargu,</w:t>
      </w:r>
    </w:p>
    <w:p w14:paraId="1F072A97" w14:textId="52E8A1DA" w:rsidR="00E63094" w:rsidRPr="00E63094" w:rsidRDefault="00F74DAB" w:rsidP="000B782E">
      <w:pPr>
        <w:pStyle w:val="Akapitzlist"/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e) </w:t>
      </w:r>
      <w:r w:rsidR="00E63094" w:rsidRPr="00E63094">
        <w:rPr>
          <w:rFonts w:cstheme="minorHAnsi"/>
        </w:rPr>
        <w:t>informuje oferentów o terminie i miejscu części niejawnej przetargu.</w:t>
      </w:r>
    </w:p>
    <w:p w14:paraId="70F99308" w14:textId="77777777" w:rsidR="00E63094" w:rsidRDefault="00E63094" w:rsidP="000B782E">
      <w:pPr>
        <w:pStyle w:val="Akapitzlist"/>
        <w:spacing w:after="0" w:line="300" w:lineRule="auto"/>
        <w:rPr>
          <w:rFonts w:cstheme="minorHAnsi"/>
        </w:rPr>
      </w:pPr>
      <w:r w:rsidRPr="00E63094">
        <w:rPr>
          <w:rFonts w:cstheme="minorHAnsi"/>
        </w:rPr>
        <w:t>Podczas części niejawnej Komisja analizuje zakwalifikowane do oceny oferty i wybiera spośród nich ofertę najkorzystniejszą lub stwierdza, że nie wybrano żadnej z ofert.</w:t>
      </w:r>
    </w:p>
    <w:p w14:paraId="318A923E" w14:textId="616D2CB0" w:rsidR="00E63094" w:rsidRPr="00E63094" w:rsidRDefault="00253AFC" w:rsidP="000B782E">
      <w:pPr>
        <w:pStyle w:val="Akapitzlist"/>
        <w:spacing w:after="0" w:line="300" w:lineRule="auto"/>
        <w:rPr>
          <w:rFonts w:cstheme="minorHAnsi"/>
        </w:rPr>
      </w:pPr>
      <w:r>
        <w:rPr>
          <w:rFonts w:cstheme="minorHAnsi"/>
        </w:rPr>
        <w:t>2</w:t>
      </w:r>
      <w:r w:rsidR="00E63094" w:rsidRPr="00E6309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E63094" w:rsidRPr="00E63094">
        <w:rPr>
          <w:rFonts w:cstheme="minorHAnsi"/>
        </w:rPr>
        <w:t>Po części niejawnej ponownie następuje część j</w:t>
      </w:r>
      <w:r w:rsidR="00F74DAB">
        <w:rPr>
          <w:rFonts w:cstheme="minorHAnsi"/>
        </w:rPr>
        <w:t xml:space="preserve">awna, podczas której ma miejsce </w:t>
      </w:r>
      <w:r w:rsidR="00E63094" w:rsidRPr="00E63094">
        <w:rPr>
          <w:rFonts w:cstheme="minorHAnsi"/>
        </w:rPr>
        <w:t>ogłoszenie wyników przetargu lub podanie informacji o dodatkowej licytacji ustnej.</w:t>
      </w:r>
    </w:p>
    <w:p w14:paraId="69F4998D" w14:textId="7FC07353" w:rsidR="001633FC" w:rsidRDefault="00253AFC" w:rsidP="000B782E">
      <w:pPr>
        <w:pStyle w:val="Akapitzlist"/>
        <w:spacing w:after="0" w:line="300" w:lineRule="auto"/>
        <w:rPr>
          <w:rFonts w:cstheme="minorHAnsi"/>
        </w:rPr>
      </w:pPr>
      <w:r>
        <w:rPr>
          <w:rFonts w:cstheme="minorHAnsi"/>
        </w:rPr>
        <w:t>3</w:t>
      </w:r>
      <w:r w:rsidR="00E63094" w:rsidRPr="00E6309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E63094" w:rsidRPr="00E63094">
        <w:rPr>
          <w:rFonts w:cstheme="minorHAnsi"/>
        </w:rPr>
        <w:t xml:space="preserve">Przetarg wygrywa oferent, który złoży ważną ofertę oraz zaoferuje </w:t>
      </w:r>
      <w:r w:rsidR="00FB3CB5">
        <w:rPr>
          <w:rFonts w:cstheme="minorHAnsi"/>
        </w:rPr>
        <w:t>najwyższą cenę</w:t>
      </w:r>
      <w:r w:rsidR="00E63094" w:rsidRPr="00E63094">
        <w:rPr>
          <w:rFonts w:cstheme="minorHAnsi"/>
        </w:rPr>
        <w:t xml:space="preserve"> </w:t>
      </w:r>
      <w:r w:rsidR="00FB3CB5">
        <w:rPr>
          <w:rFonts w:cstheme="minorHAnsi"/>
        </w:rPr>
        <w:t>n</w:t>
      </w:r>
      <w:r w:rsidR="00E63094" w:rsidRPr="00E63094">
        <w:rPr>
          <w:rFonts w:cstheme="minorHAnsi"/>
        </w:rPr>
        <w:t>abycia.</w:t>
      </w:r>
    </w:p>
    <w:p w14:paraId="714B0FD0" w14:textId="1410048B" w:rsidR="00253AFC" w:rsidRDefault="00253AFC" w:rsidP="000B782E">
      <w:pPr>
        <w:pStyle w:val="Akapitzlist"/>
        <w:spacing w:after="0" w:line="300" w:lineRule="auto"/>
        <w:rPr>
          <w:rFonts w:cstheme="minorHAnsi"/>
        </w:rPr>
      </w:pPr>
      <w:r>
        <w:rPr>
          <w:rFonts w:cstheme="minorHAnsi"/>
        </w:rPr>
        <w:t>4</w:t>
      </w:r>
      <w:r w:rsidRPr="00253AF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253AFC">
        <w:rPr>
          <w:rFonts w:cstheme="minorHAnsi"/>
        </w:rPr>
        <w:t>Przystąpienie do przetargu co najmniej jednego oferenta wystarczy do odbycia przetargu.</w:t>
      </w:r>
    </w:p>
    <w:p w14:paraId="419600D6" w14:textId="77777777" w:rsidR="00F74DAB" w:rsidRPr="00575FE1" w:rsidRDefault="00F74DAB" w:rsidP="000B782E">
      <w:pPr>
        <w:pStyle w:val="Akapitzlist"/>
        <w:spacing w:after="0" w:line="300" w:lineRule="auto"/>
        <w:rPr>
          <w:rFonts w:cstheme="minorHAnsi"/>
        </w:rPr>
      </w:pPr>
    </w:p>
    <w:p w14:paraId="67B3AEEE" w14:textId="77777777" w:rsidR="00EE1241" w:rsidRPr="00575FE1" w:rsidRDefault="001B7A7B" w:rsidP="00F74DAB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9</w:t>
      </w:r>
    </w:p>
    <w:p w14:paraId="734AD233" w14:textId="77777777" w:rsidR="00EE1241" w:rsidRPr="00BA1620" w:rsidRDefault="00EE1241" w:rsidP="000B782E">
      <w:pPr>
        <w:pStyle w:val="Akapitzlist"/>
        <w:numPr>
          <w:ilvl w:val="0"/>
          <w:numId w:val="12"/>
        </w:numPr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 xml:space="preserve">W przypadku </w:t>
      </w:r>
      <w:r w:rsidR="005920F5" w:rsidRPr="00BA1620">
        <w:rPr>
          <w:rFonts w:cstheme="minorHAnsi"/>
        </w:rPr>
        <w:t xml:space="preserve">złożenia przez przynajmniej dwóch </w:t>
      </w:r>
      <w:r w:rsidR="00A96A60" w:rsidRPr="00BA1620">
        <w:rPr>
          <w:rFonts w:cstheme="minorHAnsi"/>
        </w:rPr>
        <w:t>uczestników przetargu ofert o tej samej, najwyższej kwocie, zostanie przeprowadzona pomiędzy nimi ustna licytacja, z zastrzeżeniem ust. 2.</w:t>
      </w:r>
    </w:p>
    <w:p w14:paraId="186EE464" w14:textId="02CA02D4" w:rsidR="00A96A60" w:rsidRPr="00BA1620" w:rsidRDefault="00A96A60" w:rsidP="000B782E">
      <w:pPr>
        <w:pStyle w:val="Akapitzlist"/>
        <w:numPr>
          <w:ilvl w:val="0"/>
          <w:numId w:val="12"/>
        </w:numPr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>W przypadku, gdy jedna z ofert o tej samej, najwyższej kwocie, zostanie zło</w:t>
      </w:r>
      <w:r w:rsidR="001B7A7B" w:rsidRPr="00BA1620">
        <w:rPr>
          <w:rFonts w:cstheme="minorHAnsi"/>
        </w:rPr>
        <w:t>żona przez pracownika Urzędu m.</w:t>
      </w:r>
      <w:r w:rsidRPr="00BA1620">
        <w:rPr>
          <w:rFonts w:cstheme="minorHAnsi"/>
        </w:rPr>
        <w:t xml:space="preserve">st. </w:t>
      </w:r>
      <w:r w:rsidR="00BA1620" w:rsidRPr="00BA1620">
        <w:rPr>
          <w:rFonts w:cstheme="minorHAnsi"/>
        </w:rPr>
        <w:t>Warszawy</w:t>
      </w:r>
      <w:r w:rsidRPr="00BA1620">
        <w:rPr>
          <w:rFonts w:cstheme="minorHAnsi"/>
        </w:rPr>
        <w:t xml:space="preserve"> b</w:t>
      </w:r>
      <w:r w:rsidR="00054EB2" w:rsidRPr="00BA1620">
        <w:rPr>
          <w:rFonts w:cstheme="minorHAnsi"/>
        </w:rPr>
        <w:t>ądź jednostki organizacyjnej m.</w:t>
      </w:r>
      <w:r w:rsidRPr="00BA1620">
        <w:rPr>
          <w:rFonts w:cstheme="minorHAnsi"/>
        </w:rPr>
        <w:t>st. Warszawy, prawo pierwszeństwa nabycia pojazdów prz</w:t>
      </w:r>
      <w:r w:rsidR="00054EB2" w:rsidRPr="00BA1620">
        <w:rPr>
          <w:rFonts w:cstheme="minorHAnsi"/>
        </w:rPr>
        <w:t>ysługuje pracownikowi Urzędu m.</w:t>
      </w:r>
      <w:r w:rsidRPr="00BA1620">
        <w:rPr>
          <w:rFonts w:cstheme="minorHAnsi"/>
        </w:rPr>
        <w:t>st. Warszawy, bądź jednostki organizacyjnej m. st. Warszawy.</w:t>
      </w:r>
    </w:p>
    <w:p w14:paraId="713C9F86" w14:textId="657D8556" w:rsidR="00A96A60" w:rsidRPr="00BA1620" w:rsidRDefault="00A96A60" w:rsidP="000B782E">
      <w:pPr>
        <w:pStyle w:val="Akapitzlist"/>
        <w:numPr>
          <w:ilvl w:val="0"/>
          <w:numId w:val="12"/>
        </w:numPr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 xml:space="preserve">W przypadku, gdy oferty o tej samej, najwyższej kwocie zostaną złożone przez pracowników Urzędu m. st. </w:t>
      </w:r>
      <w:r w:rsidR="00BA1620" w:rsidRPr="00BA1620">
        <w:rPr>
          <w:rFonts w:cstheme="minorHAnsi"/>
        </w:rPr>
        <w:t>Warszawy</w:t>
      </w:r>
      <w:r w:rsidRPr="00BA1620">
        <w:rPr>
          <w:rFonts w:cstheme="minorHAnsi"/>
        </w:rPr>
        <w:t xml:space="preserve"> bądź jednostki organizacyjnej m. st. Warszawy, zastosowanie znajdzie ust. 1.</w:t>
      </w:r>
    </w:p>
    <w:p w14:paraId="3DC0D7A8" w14:textId="3538AEB7" w:rsidR="00A96A60" w:rsidRPr="00BA1620" w:rsidRDefault="00A96A60" w:rsidP="000B782E">
      <w:pPr>
        <w:pStyle w:val="Akapitzlist"/>
        <w:numPr>
          <w:ilvl w:val="0"/>
          <w:numId w:val="12"/>
        </w:numPr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 xml:space="preserve">Licytacja z udziałem uczestników, którzy złożyli oferty, o których mowa w ust. 1 i 3, rozpocznie się bezpośrednio po ogłoszeniu wyników pisemnych ofert. </w:t>
      </w:r>
    </w:p>
    <w:p w14:paraId="2A1E2B2A" w14:textId="77777777" w:rsidR="008E17EA" w:rsidRPr="00BA1620" w:rsidRDefault="008E17EA" w:rsidP="000B782E">
      <w:pPr>
        <w:pStyle w:val="Akapitzlist"/>
        <w:numPr>
          <w:ilvl w:val="0"/>
          <w:numId w:val="12"/>
        </w:numPr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>Zaoferowana cena przestaje wiązać, gdy inny uczestnik zaoferował cenę wyższą.</w:t>
      </w:r>
    </w:p>
    <w:p w14:paraId="626AA9A5" w14:textId="77777777" w:rsidR="008E17EA" w:rsidRPr="00BA1620" w:rsidRDefault="008E17EA" w:rsidP="000B782E">
      <w:pPr>
        <w:pStyle w:val="Akapitzlist"/>
        <w:numPr>
          <w:ilvl w:val="0"/>
          <w:numId w:val="12"/>
        </w:numPr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>Po ustaniu postąpień Przewodniczący Komisji Przetargowej uprzedza obecnych, że po trzecim ogłoszeniu, dalsze postąpienia nie będą przyjęte, zamyka przetarg i obwieszcza ostatnio zaoferowaną i wymienia licytanta, który zaoferował najwyższą cenę.</w:t>
      </w:r>
    </w:p>
    <w:p w14:paraId="30FB1268" w14:textId="77777777" w:rsidR="00A96A60" w:rsidRPr="00BA1620" w:rsidRDefault="00A96A60" w:rsidP="000B782E">
      <w:pPr>
        <w:pStyle w:val="Akapitzlist"/>
        <w:numPr>
          <w:ilvl w:val="0"/>
          <w:numId w:val="12"/>
        </w:numPr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 xml:space="preserve">Komisja może z </w:t>
      </w:r>
      <w:r w:rsidR="004C12B8" w:rsidRPr="00BA1620">
        <w:rPr>
          <w:rFonts w:cstheme="minorHAnsi"/>
        </w:rPr>
        <w:t>istotnych</w:t>
      </w:r>
      <w:r w:rsidRPr="00BA1620">
        <w:rPr>
          <w:rFonts w:cstheme="minorHAnsi"/>
        </w:rPr>
        <w:t xml:space="preserve"> powodów np. nieo</w:t>
      </w:r>
      <w:r w:rsidR="001633FC" w:rsidRPr="00BA1620">
        <w:rPr>
          <w:rFonts w:cstheme="minorHAnsi"/>
        </w:rPr>
        <w:t>becność</w:t>
      </w:r>
      <w:r w:rsidRPr="00BA1620">
        <w:rPr>
          <w:rFonts w:cstheme="minorHAnsi"/>
        </w:rPr>
        <w:t xml:space="preserve"> oferentów, o których mowa w ust. 1 i 3, przełożyć termin licytacji. O terminie licytacji </w:t>
      </w:r>
      <w:r w:rsidR="004C12B8" w:rsidRPr="00BA1620">
        <w:rPr>
          <w:rFonts w:cstheme="minorHAnsi"/>
        </w:rPr>
        <w:t>informuje</w:t>
      </w:r>
      <w:r w:rsidRPr="00BA1620">
        <w:rPr>
          <w:rFonts w:cstheme="minorHAnsi"/>
        </w:rPr>
        <w:t xml:space="preserve"> obwieszczeniem i pisemnie uczestników/oferentów uprawnionych do udziału</w:t>
      </w:r>
      <w:r w:rsidR="004C12B8" w:rsidRPr="00BA1620">
        <w:rPr>
          <w:rFonts w:cstheme="minorHAnsi"/>
        </w:rPr>
        <w:t xml:space="preserve"> do licytacji, o której mowa w ust. 1 i 3.</w:t>
      </w:r>
    </w:p>
    <w:p w14:paraId="2AFDF61A" w14:textId="77777777" w:rsidR="004C12B8" w:rsidRPr="00575FE1" w:rsidRDefault="004C12B8" w:rsidP="000B782E">
      <w:pPr>
        <w:pStyle w:val="Akapitzlist"/>
        <w:spacing w:after="0" w:line="300" w:lineRule="auto"/>
        <w:rPr>
          <w:rFonts w:cstheme="minorHAnsi"/>
        </w:rPr>
      </w:pPr>
    </w:p>
    <w:p w14:paraId="6BD70082" w14:textId="77777777" w:rsidR="004C12B8" w:rsidRPr="00575FE1" w:rsidRDefault="001B7A7B" w:rsidP="00737E80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 10</w:t>
      </w:r>
    </w:p>
    <w:p w14:paraId="5DC7FCAA" w14:textId="788746CF" w:rsidR="00BA1620" w:rsidRDefault="008E17EA" w:rsidP="000B782E">
      <w:pPr>
        <w:pStyle w:val="Akapitzlist"/>
        <w:spacing w:after="0" w:line="300" w:lineRule="auto"/>
        <w:rPr>
          <w:rFonts w:cstheme="minorHAnsi"/>
        </w:rPr>
      </w:pPr>
      <w:r w:rsidRPr="00BA1620">
        <w:rPr>
          <w:rFonts w:cstheme="minorHAnsi"/>
        </w:rPr>
        <w:t>Uczestnicy przetargu zostaną powiadomieni o jego wynikach</w:t>
      </w:r>
      <w:r w:rsidR="00A42ED9" w:rsidRPr="00BA1620">
        <w:rPr>
          <w:rFonts w:cstheme="minorHAnsi"/>
        </w:rPr>
        <w:t xml:space="preserve"> bezpośrednio po zakończeniu przetargu</w:t>
      </w:r>
      <w:r w:rsidRPr="00BA1620">
        <w:rPr>
          <w:rFonts w:cstheme="minorHAnsi"/>
        </w:rPr>
        <w:t xml:space="preserve">. Komunikat </w:t>
      </w:r>
      <w:r w:rsidR="00644EFB" w:rsidRPr="00BA1620">
        <w:rPr>
          <w:rFonts w:cstheme="minorHAnsi"/>
        </w:rPr>
        <w:t>o rozstrzygnięciu przetargu</w:t>
      </w:r>
      <w:r w:rsidRPr="00BA1620">
        <w:rPr>
          <w:rFonts w:cstheme="minorHAnsi"/>
        </w:rPr>
        <w:t xml:space="preserve"> zostanie podany do publicznej wiadomość poprzez </w:t>
      </w:r>
      <w:r w:rsidR="00BA1620" w:rsidRPr="00BA1620">
        <w:rPr>
          <w:rFonts w:cstheme="minorHAnsi"/>
        </w:rPr>
        <w:t>umieszczenie</w:t>
      </w:r>
      <w:r w:rsidRPr="00BA1620">
        <w:rPr>
          <w:rFonts w:cstheme="minorHAnsi"/>
        </w:rPr>
        <w:t xml:space="preserve"> na oficjalnej stronie internetowej Urzędu.</w:t>
      </w:r>
    </w:p>
    <w:p w14:paraId="50ACA6A4" w14:textId="77777777" w:rsidR="00D74424" w:rsidRDefault="00D74424" w:rsidP="00737E80">
      <w:pPr>
        <w:spacing w:after="0" w:line="300" w:lineRule="auto"/>
        <w:contextualSpacing/>
        <w:jc w:val="center"/>
        <w:rPr>
          <w:rFonts w:cstheme="minorHAnsi"/>
        </w:rPr>
      </w:pPr>
    </w:p>
    <w:p w14:paraId="2F319A54" w14:textId="40E29CF8" w:rsidR="00046055" w:rsidRPr="00575FE1" w:rsidRDefault="007F6CA9" w:rsidP="00737E80">
      <w:pPr>
        <w:spacing w:after="0" w:line="300" w:lineRule="auto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 xml:space="preserve">§ </w:t>
      </w:r>
      <w:r w:rsidR="001B7A7B" w:rsidRPr="00575FE1">
        <w:rPr>
          <w:rFonts w:cstheme="minorHAnsi"/>
        </w:rPr>
        <w:t>11</w:t>
      </w:r>
    </w:p>
    <w:p w14:paraId="1CFA47E8" w14:textId="3A870C00" w:rsidR="007F6CA9" w:rsidRPr="001A04D2" w:rsidRDefault="0092373D" w:rsidP="001A04D2">
      <w:pPr>
        <w:pStyle w:val="Akapitzlist"/>
        <w:numPr>
          <w:ilvl w:val="0"/>
          <w:numId w:val="14"/>
        </w:numPr>
        <w:rPr>
          <w:rFonts w:cstheme="minorHAnsi"/>
        </w:rPr>
      </w:pPr>
      <w:r w:rsidRPr="001A04D2">
        <w:rPr>
          <w:rFonts w:cstheme="minorHAnsi"/>
        </w:rPr>
        <w:t xml:space="preserve">Zawarcie umowy sprzedaży nastąpi w formie pisemnej w terminie nie dłuższym niż 5 dni roboczych od momentu rozstrzygnięcia Przetargu. </w:t>
      </w:r>
      <w:r w:rsidR="001A04D2" w:rsidRPr="001A04D2">
        <w:rPr>
          <w:rFonts w:cstheme="minorHAnsi"/>
        </w:rPr>
        <w:t>Zawarcie umowy następuje w dniu roboczym, w godz. pracy organizatora przetargu</w:t>
      </w:r>
      <w:r w:rsidR="001A04D2">
        <w:rPr>
          <w:rFonts w:cstheme="minorHAnsi"/>
        </w:rPr>
        <w:t xml:space="preserve"> tj. 8.00-16.00</w:t>
      </w:r>
    </w:p>
    <w:p w14:paraId="0975EF46" w14:textId="216DC5C6" w:rsidR="005140E5" w:rsidRPr="005140E5" w:rsidRDefault="005140E5" w:rsidP="005140E5">
      <w:pPr>
        <w:spacing w:after="0" w:line="300" w:lineRule="auto"/>
        <w:ind w:left="709" w:right="14" w:hanging="425"/>
        <w:rPr>
          <w:rFonts w:cstheme="minorHAnsi"/>
        </w:rPr>
      </w:pPr>
      <w:r>
        <w:rPr>
          <w:rFonts w:cstheme="minorHAnsi"/>
        </w:rPr>
        <w:lastRenderedPageBreak/>
        <w:t>2</w:t>
      </w:r>
      <w:r w:rsidRPr="005140E5">
        <w:rPr>
          <w:rFonts w:cstheme="minorHAnsi"/>
        </w:rPr>
        <w:t xml:space="preserve">. </w:t>
      </w:r>
      <w:r>
        <w:rPr>
          <w:rFonts w:cstheme="minorHAnsi"/>
        </w:rPr>
        <w:t xml:space="preserve">    </w:t>
      </w:r>
      <w:r w:rsidRPr="005140E5">
        <w:rPr>
          <w:rFonts w:cstheme="minorHAnsi"/>
        </w:rPr>
        <w:t>Sprzedaż ruchomości na rzecz podatników podatku VAT lub osób prawnych niebędących podatnikami dokumentowana jest fakturą. Organizator wystawi fakturę nie później niż w terminie 5 dni roboczych od dnia zawarcia umowy sprzedaży.</w:t>
      </w:r>
    </w:p>
    <w:p w14:paraId="0C6917D7" w14:textId="21740780" w:rsidR="005140E5" w:rsidRPr="005140E5" w:rsidRDefault="005140E5" w:rsidP="005140E5">
      <w:pPr>
        <w:spacing w:after="0" w:line="300" w:lineRule="auto"/>
        <w:ind w:left="709" w:right="14" w:hanging="425"/>
        <w:rPr>
          <w:rFonts w:cstheme="minorHAnsi"/>
        </w:rPr>
      </w:pPr>
      <w:r>
        <w:rPr>
          <w:rFonts w:cstheme="minorHAnsi"/>
        </w:rPr>
        <w:t>3</w:t>
      </w:r>
      <w:r w:rsidRPr="005140E5">
        <w:rPr>
          <w:rFonts w:cstheme="minorHAnsi"/>
        </w:rPr>
        <w:t xml:space="preserve">. </w:t>
      </w:r>
      <w:r>
        <w:rPr>
          <w:rFonts w:cstheme="minorHAnsi"/>
        </w:rPr>
        <w:t xml:space="preserve">    </w:t>
      </w:r>
      <w:r w:rsidRPr="005140E5">
        <w:rPr>
          <w:rFonts w:cstheme="minorHAnsi"/>
        </w:rPr>
        <w:t>Sprzedaż ruchomości dokonywana na rzecz osób fizycznych nieprowadzących działalności gospodarczej, w przypadku płatności gotówkowej dokumentowana jest paragonem fiskalnym. Na żądanie nabywcy, będącego osobą fizyczną, zgłoszone nie później niż 3 miesiące od upływu ostatniego dnia miesiąca, w którym dokonano odbioru ruchomości, organizator wystawia nabywcy fakturę dokumentującą sprzedaż.</w:t>
      </w:r>
    </w:p>
    <w:p w14:paraId="36C44A8E" w14:textId="1D312AC9" w:rsidR="005140E5" w:rsidRPr="001A04D2" w:rsidRDefault="005140E5" w:rsidP="005140E5">
      <w:pPr>
        <w:spacing w:after="0" w:line="300" w:lineRule="auto"/>
        <w:ind w:left="709" w:right="14" w:hanging="425"/>
        <w:rPr>
          <w:rFonts w:cstheme="minorHAnsi"/>
          <w:color w:val="FF0000"/>
        </w:rPr>
      </w:pPr>
      <w:r>
        <w:rPr>
          <w:rFonts w:cstheme="minorHAnsi"/>
        </w:rPr>
        <w:t>4</w:t>
      </w:r>
      <w:r w:rsidRPr="005140E5">
        <w:rPr>
          <w:rFonts w:cstheme="minorHAnsi"/>
        </w:rPr>
        <w:t xml:space="preserve">. </w:t>
      </w:r>
      <w:r>
        <w:rPr>
          <w:rFonts w:cstheme="minorHAnsi"/>
        </w:rPr>
        <w:t xml:space="preserve">    </w:t>
      </w:r>
      <w:r w:rsidRPr="00BC534B">
        <w:rPr>
          <w:rFonts w:cstheme="minorHAnsi"/>
        </w:rPr>
        <w:t xml:space="preserve">Zapłata ceny przez nabywcę winna być dokonana w terminie do 5 dni roboczych od dnia wystawienia faktury, wskazanej w ust. </w:t>
      </w:r>
      <w:r w:rsidR="00BD761C" w:rsidRPr="00BC534B">
        <w:rPr>
          <w:rFonts w:cstheme="minorHAnsi"/>
        </w:rPr>
        <w:t>2.</w:t>
      </w:r>
    </w:p>
    <w:p w14:paraId="24CAE512" w14:textId="4E38E190" w:rsidR="005140E5" w:rsidRPr="005140E5" w:rsidRDefault="001A04D2" w:rsidP="001A04D2">
      <w:pPr>
        <w:spacing w:after="0" w:line="300" w:lineRule="auto"/>
        <w:ind w:left="709" w:right="14" w:hanging="425"/>
        <w:rPr>
          <w:rFonts w:cstheme="minorHAnsi"/>
        </w:rPr>
      </w:pPr>
      <w:r>
        <w:rPr>
          <w:rFonts w:cstheme="minorHAnsi"/>
        </w:rPr>
        <w:t>5</w:t>
      </w:r>
      <w:r w:rsidR="005140E5" w:rsidRPr="005140E5">
        <w:rPr>
          <w:rFonts w:cstheme="minorHAnsi"/>
        </w:rPr>
        <w:t xml:space="preserve">. </w:t>
      </w:r>
      <w:r>
        <w:rPr>
          <w:rFonts w:cstheme="minorHAnsi"/>
        </w:rPr>
        <w:t xml:space="preserve">  </w:t>
      </w:r>
      <w:r w:rsidR="005140E5" w:rsidRPr="005140E5">
        <w:rPr>
          <w:rFonts w:cstheme="minorHAnsi"/>
        </w:rPr>
        <w:t>Za termin zapłaty przyjmuje się termin wpływu środków płatniczych na wskazany w umowie rachunek bankowy organizatora lub zapłatę dokonaną w kasie Urzędu.</w:t>
      </w:r>
    </w:p>
    <w:p w14:paraId="16C29F42" w14:textId="46A2C8EB" w:rsidR="005140E5" w:rsidRPr="005140E5" w:rsidRDefault="001A04D2" w:rsidP="005140E5">
      <w:pPr>
        <w:spacing w:after="0" w:line="300" w:lineRule="auto"/>
        <w:ind w:left="709" w:right="14" w:hanging="425"/>
        <w:rPr>
          <w:rFonts w:cstheme="minorHAnsi"/>
        </w:rPr>
      </w:pPr>
      <w:r>
        <w:rPr>
          <w:rFonts w:cstheme="minorHAnsi"/>
        </w:rPr>
        <w:t>6</w:t>
      </w:r>
      <w:r w:rsidR="005140E5" w:rsidRPr="005140E5">
        <w:rPr>
          <w:rFonts w:cstheme="minorHAnsi"/>
        </w:rPr>
        <w:t xml:space="preserve">. </w:t>
      </w:r>
      <w:r>
        <w:rPr>
          <w:rFonts w:cstheme="minorHAnsi"/>
        </w:rPr>
        <w:t xml:space="preserve">    </w:t>
      </w:r>
      <w:r w:rsidR="005140E5" w:rsidRPr="005140E5">
        <w:rPr>
          <w:rFonts w:cstheme="minorHAnsi"/>
        </w:rPr>
        <w:t>Przedmiot sprzedaży zostanie wydany nabywcy za pokwitowaniem, w terminie do 5 dni roboczych liczonych od dnia zapłaty całości zaoferowanej ceny nabycia</w:t>
      </w:r>
      <w:r w:rsidRPr="001A04D2">
        <w:t xml:space="preserve"> </w:t>
      </w:r>
      <w:r w:rsidRPr="001A04D2">
        <w:rPr>
          <w:rFonts w:cstheme="minorHAnsi"/>
        </w:rPr>
        <w:t xml:space="preserve">po potwierdzeniu przez Wydział Budżetowo-Księgowy dla Dzielnicy Białołęka wpłaty ceny nabycia w sposób określony w ust. </w:t>
      </w:r>
      <w:r>
        <w:rPr>
          <w:rFonts w:cstheme="minorHAnsi"/>
        </w:rPr>
        <w:t>4.</w:t>
      </w:r>
    </w:p>
    <w:p w14:paraId="505DC58E" w14:textId="3AFE25F3" w:rsidR="001A04D2" w:rsidRDefault="001A04D2" w:rsidP="001A04D2">
      <w:pPr>
        <w:spacing w:after="0" w:line="300" w:lineRule="auto"/>
        <w:ind w:left="709" w:right="14" w:hanging="425"/>
        <w:rPr>
          <w:rFonts w:cstheme="minorHAnsi"/>
        </w:rPr>
      </w:pPr>
      <w:r>
        <w:rPr>
          <w:rFonts w:cstheme="minorHAnsi"/>
        </w:rPr>
        <w:t>7</w:t>
      </w:r>
      <w:r w:rsidR="005140E5" w:rsidRPr="005140E5">
        <w:rPr>
          <w:rFonts w:cstheme="minorHAnsi"/>
        </w:rPr>
        <w:t>.</w:t>
      </w:r>
      <w:r>
        <w:rPr>
          <w:rFonts w:cstheme="minorHAnsi"/>
        </w:rPr>
        <w:t xml:space="preserve">   </w:t>
      </w:r>
      <w:r w:rsidR="005140E5" w:rsidRPr="005140E5">
        <w:rPr>
          <w:rFonts w:cstheme="minorHAnsi"/>
        </w:rPr>
        <w:t xml:space="preserve"> Jeżeli nabywca uchyla się od zapłaty ceny</w:t>
      </w:r>
      <w:r>
        <w:rPr>
          <w:rFonts w:cstheme="minorHAnsi"/>
        </w:rPr>
        <w:t xml:space="preserve"> nabycia</w:t>
      </w:r>
      <w:r w:rsidR="005140E5" w:rsidRPr="005140E5">
        <w:rPr>
          <w:rFonts w:cstheme="minorHAnsi"/>
        </w:rPr>
        <w:t xml:space="preserve"> lub zawarcia umowy we wskazanym przez organizatora terminie bez uzasadnionej przyczyny, organizator może odstąpić od zawarcia umowy</w:t>
      </w:r>
      <w:r>
        <w:rPr>
          <w:rFonts w:cstheme="minorHAnsi"/>
        </w:rPr>
        <w:t xml:space="preserve">. </w:t>
      </w:r>
      <w:r w:rsidR="005140E5" w:rsidRPr="005140E5">
        <w:rPr>
          <w:rFonts w:cstheme="minorHAnsi"/>
        </w:rPr>
        <w:t>W takim przypadku organizator ma prawo wybrać ofertę najkorzystniejszą spośród pozostałych ofert.</w:t>
      </w:r>
    </w:p>
    <w:p w14:paraId="313B9547" w14:textId="2BAD6460" w:rsidR="007F6CA9" w:rsidRPr="001A04D2" w:rsidRDefault="001A04D2" w:rsidP="001A04D2">
      <w:pPr>
        <w:pStyle w:val="Akapitzlist"/>
        <w:numPr>
          <w:ilvl w:val="0"/>
          <w:numId w:val="12"/>
        </w:numPr>
        <w:spacing w:after="0" w:line="300" w:lineRule="auto"/>
        <w:ind w:right="14"/>
        <w:rPr>
          <w:rFonts w:cstheme="minorHAnsi"/>
        </w:rPr>
      </w:pPr>
      <w:r>
        <w:rPr>
          <w:rFonts w:cstheme="minorHAnsi"/>
        </w:rPr>
        <w:t xml:space="preserve"> </w:t>
      </w:r>
      <w:r w:rsidR="007F6CA9" w:rsidRPr="001A04D2">
        <w:rPr>
          <w:rFonts w:cstheme="minorHAnsi"/>
        </w:rPr>
        <w:t>Osoba wyłoniona w</w:t>
      </w:r>
      <w:r w:rsidR="006D4F97" w:rsidRPr="001A04D2">
        <w:rPr>
          <w:rFonts w:cstheme="minorHAnsi"/>
        </w:rPr>
        <w:t xml:space="preserve"> drodze przetargu</w:t>
      </w:r>
      <w:r w:rsidR="007F6CA9" w:rsidRPr="001A04D2">
        <w:rPr>
          <w:rFonts w:cstheme="minorHAnsi"/>
        </w:rPr>
        <w:t xml:space="preserve">, która w terminie określonym w ust. </w:t>
      </w:r>
      <w:r w:rsidRPr="001A04D2">
        <w:rPr>
          <w:rFonts w:cstheme="minorHAnsi"/>
        </w:rPr>
        <w:t>4</w:t>
      </w:r>
      <w:r w:rsidR="007F6CA9" w:rsidRPr="001A04D2">
        <w:rPr>
          <w:rFonts w:cstheme="minorHAnsi"/>
        </w:rPr>
        <w:t xml:space="preserve"> nie uiści ceny nabycia, traci prawo do nab</w:t>
      </w:r>
      <w:r w:rsidR="000C6B16" w:rsidRPr="001A04D2">
        <w:rPr>
          <w:rFonts w:cstheme="minorHAnsi"/>
        </w:rPr>
        <w:t>ycia pojazdu</w:t>
      </w:r>
      <w:r w:rsidR="007F6CA9" w:rsidRPr="001A04D2">
        <w:rPr>
          <w:rFonts w:cstheme="minorHAnsi"/>
        </w:rPr>
        <w:t>.</w:t>
      </w:r>
    </w:p>
    <w:p w14:paraId="55DA9C9C" w14:textId="196B659E" w:rsidR="007F6CA9" w:rsidRDefault="00E221C6" w:rsidP="001A04D2">
      <w:pPr>
        <w:numPr>
          <w:ilvl w:val="0"/>
          <w:numId w:val="12"/>
        </w:numPr>
        <w:spacing w:after="0" w:line="300" w:lineRule="auto"/>
        <w:ind w:right="14"/>
        <w:contextualSpacing/>
        <w:rPr>
          <w:rFonts w:cstheme="minorHAnsi"/>
        </w:rPr>
      </w:pPr>
      <w:r w:rsidRPr="00575FE1">
        <w:rPr>
          <w:rFonts w:cstheme="minorHAnsi"/>
        </w:rPr>
        <w:t xml:space="preserve">W przypadku określonym w ust. </w:t>
      </w:r>
      <w:r w:rsidR="00FB3CB5">
        <w:rPr>
          <w:rFonts w:cstheme="minorHAnsi"/>
        </w:rPr>
        <w:t>7</w:t>
      </w:r>
      <w:r w:rsidR="007F6CA9" w:rsidRPr="00575FE1">
        <w:rPr>
          <w:rFonts w:cstheme="minorHAnsi"/>
        </w:rPr>
        <w:t xml:space="preserve"> prawo nabycia pojazdów przechodzi na osobę, która zaoferowała drugą najwyższą cenę nabycia pojazdu. Komisja Przetargowa niezwłocznie powiadamia o tym fakcie uczestnika, który złożył drugą, najwyższą cenę nabycia pojazdu.</w:t>
      </w:r>
    </w:p>
    <w:p w14:paraId="7F21E419" w14:textId="77777777" w:rsidR="00BA1620" w:rsidRPr="00575FE1" w:rsidRDefault="00BA1620" w:rsidP="000B782E">
      <w:pPr>
        <w:spacing w:after="0" w:line="300" w:lineRule="auto"/>
        <w:ind w:left="720" w:right="14"/>
        <w:contextualSpacing/>
        <w:rPr>
          <w:rFonts w:cstheme="minorHAnsi"/>
        </w:rPr>
      </w:pPr>
    </w:p>
    <w:p w14:paraId="3EB6E204" w14:textId="77777777" w:rsidR="007F6CA9" w:rsidRPr="00737E80" w:rsidRDefault="00DD3AFC" w:rsidP="00737E80">
      <w:pPr>
        <w:spacing w:after="0" w:line="300" w:lineRule="auto"/>
        <w:jc w:val="center"/>
        <w:rPr>
          <w:rFonts w:cstheme="minorHAnsi"/>
        </w:rPr>
      </w:pPr>
      <w:r w:rsidRPr="00737E80">
        <w:rPr>
          <w:rFonts w:cstheme="minorHAnsi"/>
        </w:rPr>
        <w:t>§ 12</w:t>
      </w:r>
    </w:p>
    <w:p w14:paraId="09098906" w14:textId="0BFDB888" w:rsidR="007F6CA9" w:rsidRPr="00575FE1" w:rsidRDefault="00E221C6" w:rsidP="0025662A">
      <w:pPr>
        <w:spacing w:after="0" w:line="300" w:lineRule="auto"/>
        <w:ind w:left="709" w:right="14" w:hanging="319"/>
        <w:contextualSpacing/>
        <w:rPr>
          <w:rFonts w:cstheme="minorHAnsi"/>
        </w:rPr>
      </w:pPr>
      <w:r w:rsidRPr="00575FE1">
        <w:rPr>
          <w:rFonts w:eastAsia="Times New Roman" w:cstheme="minorHAnsi"/>
        </w:rPr>
        <w:t>1</w:t>
      </w:r>
      <w:r w:rsidR="007F6CA9" w:rsidRPr="00575FE1">
        <w:rPr>
          <w:rFonts w:eastAsia="Times New Roman" w:cstheme="minorHAnsi"/>
        </w:rPr>
        <w:t xml:space="preserve">. </w:t>
      </w:r>
      <w:r w:rsidR="0025662A">
        <w:rPr>
          <w:rFonts w:eastAsia="Times New Roman" w:cstheme="minorHAnsi"/>
        </w:rPr>
        <w:t xml:space="preserve">  </w:t>
      </w:r>
      <w:r w:rsidR="007F6CA9" w:rsidRPr="00575FE1">
        <w:rPr>
          <w:rFonts w:cstheme="minorHAnsi"/>
        </w:rPr>
        <w:t xml:space="preserve">Komisja Przetargowa sporządza protokół z przebiegu </w:t>
      </w:r>
      <w:r w:rsidR="00BA1620" w:rsidRPr="00575FE1">
        <w:rPr>
          <w:rFonts w:cstheme="minorHAnsi"/>
        </w:rPr>
        <w:t>przetargu</w:t>
      </w:r>
      <w:r w:rsidRPr="00575FE1">
        <w:rPr>
          <w:rFonts w:cstheme="minorHAnsi"/>
        </w:rPr>
        <w:t xml:space="preserve"> bądź licytacji, który </w:t>
      </w:r>
      <w:r w:rsidR="0025662A">
        <w:rPr>
          <w:rFonts w:cstheme="minorHAnsi"/>
        </w:rPr>
        <w:t>winie</w:t>
      </w:r>
      <w:r w:rsidR="001A04D2">
        <w:rPr>
          <w:rFonts w:cstheme="minorHAnsi"/>
        </w:rPr>
        <w:t xml:space="preserve">n </w:t>
      </w:r>
      <w:r w:rsidR="007F6CA9" w:rsidRPr="00575FE1">
        <w:rPr>
          <w:rFonts w:cstheme="minorHAnsi"/>
        </w:rPr>
        <w:t>zawierać:</w:t>
      </w:r>
    </w:p>
    <w:p w14:paraId="4DDA6F4A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oznaczenie miejsca i czas przetargu,</w:t>
      </w:r>
    </w:p>
    <w:p w14:paraId="4FEC47FE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imiona i nazwiska osób prowadzących przetarg,</w:t>
      </w:r>
    </w:p>
    <w:p w14:paraId="3692BA82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dane określające oferentów,</w:t>
      </w:r>
    </w:p>
    <w:p w14:paraId="3609E1E5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wysokość cen wywoławczych,</w:t>
      </w:r>
    </w:p>
    <w:p w14:paraId="342BF1C6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spełnianie przez nich wymogów formalnych,</w:t>
      </w:r>
    </w:p>
    <w:p w14:paraId="14E6FBC5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powody ewentualnego odrzucenia oferty,</w:t>
      </w:r>
    </w:p>
    <w:p w14:paraId="7C5568F0" w14:textId="77777777" w:rsidR="007F6CA9" w:rsidRPr="00575FE1" w:rsidRDefault="006559CC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wysokość postąpienia</w:t>
      </w:r>
      <w:r w:rsidR="007F6CA9" w:rsidRPr="00575FE1">
        <w:rPr>
          <w:rFonts w:cstheme="minorHAnsi"/>
        </w:rPr>
        <w:t>,</w:t>
      </w:r>
    </w:p>
    <w:p w14:paraId="73A7BE1D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najwyższą cenę zaoferowaną za pojazd,</w:t>
      </w:r>
    </w:p>
    <w:p w14:paraId="0535535A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5DACE809" wp14:editId="4D4E7C02">
            <wp:simplePos x="0" y="0"/>
            <wp:positionH relativeFrom="page">
              <wp:posOffset>7034784</wp:posOffset>
            </wp:positionH>
            <wp:positionV relativeFrom="page">
              <wp:posOffset>8524639</wp:posOffset>
            </wp:positionV>
            <wp:extent cx="6097" cy="30489"/>
            <wp:effectExtent l="0" t="0" r="0" b="0"/>
            <wp:wrapSquare wrapText="bothSides"/>
            <wp:docPr id="11673" name="Picture 1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" name="Picture 116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5FE1">
        <w:rPr>
          <w:rFonts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0" wp14:anchorId="56F8314A" wp14:editId="0A87D88D">
            <wp:simplePos x="0" y="0"/>
            <wp:positionH relativeFrom="page">
              <wp:posOffset>7031736</wp:posOffset>
            </wp:positionH>
            <wp:positionV relativeFrom="page">
              <wp:posOffset>8570372</wp:posOffset>
            </wp:positionV>
            <wp:extent cx="42673" cy="27439"/>
            <wp:effectExtent l="0" t="0" r="0" b="0"/>
            <wp:wrapSquare wrapText="bothSides"/>
            <wp:docPr id="11674" name="Picture 1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" name="Picture 116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5FE1">
        <w:rPr>
          <w:rFonts w:cstheme="minorHAnsi"/>
        </w:rPr>
        <w:t>dane osób wyłonionych w drodze przetargu bądź licytacji,</w:t>
      </w:r>
    </w:p>
    <w:p w14:paraId="69CB5E10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wysokość ceny nabycia,</w:t>
      </w:r>
    </w:p>
    <w:p w14:paraId="39E478C2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powód niewyłonienia zwycięzcy,</w:t>
      </w:r>
    </w:p>
    <w:p w14:paraId="0CF9885D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ewentualne wnioski Komisji Przetargowej,</w:t>
      </w:r>
    </w:p>
    <w:p w14:paraId="5BF1221D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lastRenderedPageBreak/>
        <w:t>wzmiankę o odczytaniu protokołu,</w:t>
      </w:r>
    </w:p>
    <w:p w14:paraId="4CB69391" w14:textId="77777777" w:rsidR="007F6CA9" w:rsidRPr="00575FE1" w:rsidRDefault="007F6CA9" w:rsidP="0025662A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określenie powodu zamknięcia prac Komisji,</w:t>
      </w:r>
    </w:p>
    <w:p w14:paraId="4CD359C1" w14:textId="18C3334E" w:rsidR="005D3B73" w:rsidRPr="00D74424" w:rsidRDefault="007F6CA9" w:rsidP="00D74424">
      <w:pPr>
        <w:pStyle w:val="Bezodstpw"/>
        <w:numPr>
          <w:ilvl w:val="0"/>
          <w:numId w:val="22"/>
        </w:numPr>
        <w:spacing w:line="300" w:lineRule="auto"/>
        <w:ind w:left="993"/>
        <w:contextualSpacing/>
        <w:rPr>
          <w:rFonts w:cstheme="minorHAnsi"/>
        </w:rPr>
      </w:pPr>
      <w:r w:rsidRPr="00575FE1">
        <w:rPr>
          <w:rFonts w:cstheme="minorHAnsi"/>
        </w:rPr>
        <w:t>podpisy członków Komisji Przetargowej.</w:t>
      </w:r>
    </w:p>
    <w:p w14:paraId="63270CF0" w14:textId="385B9BF6" w:rsidR="007F6CA9" w:rsidRPr="00575FE1" w:rsidRDefault="007F6CA9" w:rsidP="0025662A">
      <w:pPr>
        <w:numPr>
          <w:ilvl w:val="0"/>
          <w:numId w:val="16"/>
        </w:numPr>
        <w:spacing w:after="0" w:line="300" w:lineRule="auto"/>
        <w:ind w:left="709" w:right="14" w:hanging="283"/>
        <w:contextualSpacing/>
        <w:rPr>
          <w:rFonts w:cstheme="minorHAnsi"/>
        </w:rPr>
      </w:pPr>
      <w:r w:rsidRPr="00575FE1">
        <w:rPr>
          <w:rFonts w:cstheme="minorHAnsi"/>
        </w:rPr>
        <w:t xml:space="preserve">Data podpisania </w:t>
      </w:r>
      <w:r w:rsidR="007C0EC8" w:rsidRPr="00575FE1">
        <w:rPr>
          <w:rFonts w:cstheme="minorHAnsi"/>
        </w:rPr>
        <w:t>protokołu</w:t>
      </w:r>
      <w:r w:rsidRPr="00575FE1">
        <w:rPr>
          <w:rFonts w:cstheme="minorHAnsi"/>
        </w:rPr>
        <w:t xml:space="preserve"> przetargu przez Burmistrza Dzielnicy</w:t>
      </w:r>
      <w:r w:rsidR="00BA1620">
        <w:rPr>
          <w:rFonts w:cstheme="minorHAnsi"/>
        </w:rPr>
        <w:t xml:space="preserve"> Białołęka</w:t>
      </w:r>
      <w:r w:rsidRPr="00575FE1">
        <w:rPr>
          <w:rFonts w:cstheme="minorHAnsi"/>
        </w:rPr>
        <w:t xml:space="preserve"> lub osobę </w:t>
      </w:r>
      <w:r w:rsidR="0025662A">
        <w:rPr>
          <w:rFonts w:cstheme="minorHAnsi"/>
        </w:rPr>
        <w:t xml:space="preserve">przez </w:t>
      </w:r>
      <w:r w:rsidRPr="00575FE1">
        <w:rPr>
          <w:rFonts w:cstheme="minorHAnsi"/>
        </w:rPr>
        <w:t>niego upoważnioną jest jednocześnie datą rozstrzygnięcia przetargu.</w:t>
      </w:r>
    </w:p>
    <w:p w14:paraId="6C284C7E" w14:textId="77777777" w:rsidR="00632978" w:rsidRPr="00575FE1" w:rsidRDefault="007F6CA9" w:rsidP="0025662A">
      <w:pPr>
        <w:numPr>
          <w:ilvl w:val="0"/>
          <w:numId w:val="16"/>
        </w:numPr>
        <w:spacing w:after="0" w:line="300" w:lineRule="auto"/>
        <w:ind w:right="14"/>
        <w:contextualSpacing/>
        <w:rPr>
          <w:rFonts w:cstheme="minorHAnsi"/>
        </w:rPr>
      </w:pPr>
      <w:r w:rsidRPr="00575FE1">
        <w:rPr>
          <w:rFonts w:cstheme="minorHAnsi"/>
        </w:rPr>
        <w:t>Komisja Przetargowa powiadamia o wynikach przetargu osoby biorące w nim udział.</w:t>
      </w:r>
    </w:p>
    <w:p w14:paraId="7B517CFD" w14:textId="77777777" w:rsidR="0025662A" w:rsidRDefault="0025662A" w:rsidP="0025662A">
      <w:pPr>
        <w:spacing w:after="0" w:line="300" w:lineRule="auto"/>
        <w:ind w:right="456"/>
        <w:contextualSpacing/>
        <w:rPr>
          <w:rFonts w:cstheme="minorHAnsi"/>
        </w:rPr>
      </w:pPr>
    </w:p>
    <w:p w14:paraId="200D0D2D" w14:textId="77777777" w:rsidR="007C0EC8" w:rsidRPr="00575FE1" w:rsidRDefault="007C0EC8" w:rsidP="0025662A">
      <w:pPr>
        <w:spacing w:after="0" w:line="300" w:lineRule="auto"/>
        <w:ind w:right="456"/>
        <w:contextualSpacing/>
        <w:jc w:val="center"/>
        <w:rPr>
          <w:rFonts w:cstheme="minorHAnsi"/>
        </w:rPr>
      </w:pPr>
      <w:r w:rsidRPr="00575FE1">
        <w:rPr>
          <w:rFonts w:cstheme="minorHAnsi"/>
        </w:rPr>
        <w:t>§</w:t>
      </w:r>
      <w:r w:rsidR="00937CC1" w:rsidRPr="00575FE1">
        <w:rPr>
          <w:rFonts w:eastAsia="Times New Roman" w:cstheme="minorHAnsi"/>
        </w:rPr>
        <w:t xml:space="preserve"> 13</w:t>
      </w:r>
    </w:p>
    <w:p w14:paraId="2B2AECDB" w14:textId="75471974" w:rsidR="003316EA" w:rsidRPr="004E470D" w:rsidRDefault="00B578C1" w:rsidP="004E470D">
      <w:pPr>
        <w:numPr>
          <w:ilvl w:val="0"/>
          <w:numId w:val="20"/>
        </w:numPr>
        <w:tabs>
          <w:tab w:val="left" w:pos="851"/>
        </w:tabs>
        <w:spacing w:after="0" w:line="300" w:lineRule="auto"/>
        <w:ind w:left="709" w:right="14" w:hanging="283"/>
        <w:contextualSpacing/>
        <w:rPr>
          <w:rFonts w:cstheme="minorHAnsi"/>
        </w:rPr>
      </w:pPr>
      <w:r w:rsidRPr="003316EA">
        <w:rPr>
          <w:rFonts w:cstheme="minorHAnsi"/>
        </w:rPr>
        <w:t>Jeżeli procedura zbycia ruchomości zakończyła się wynikiem negatywnym, może ona zostać powtórzona po upływie 5 dni roboczych licząc od dnia jej zakończenia.</w:t>
      </w:r>
    </w:p>
    <w:p w14:paraId="2B9B00CF" w14:textId="3936CF30" w:rsidR="00B578C1" w:rsidRPr="00B578C1" w:rsidRDefault="00B578C1" w:rsidP="004E470D">
      <w:pPr>
        <w:numPr>
          <w:ilvl w:val="0"/>
          <w:numId w:val="20"/>
        </w:numPr>
        <w:tabs>
          <w:tab w:val="left" w:pos="851"/>
        </w:tabs>
        <w:spacing w:after="0" w:line="300" w:lineRule="auto"/>
        <w:ind w:left="709" w:right="14" w:hanging="283"/>
        <w:contextualSpacing/>
        <w:rPr>
          <w:rFonts w:cstheme="minorHAnsi"/>
        </w:rPr>
      </w:pPr>
      <w:r w:rsidRPr="00B578C1">
        <w:rPr>
          <w:rFonts w:cstheme="minorHAnsi"/>
        </w:rPr>
        <w:t>W przypadku powtarzania procedury zbycia ruchomości po raz pierwszy cena ustalona pierwotnie jako cena wywoławcza może zostać</w:t>
      </w:r>
      <w:r w:rsidR="00E20449">
        <w:rPr>
          <w:rFonts w:cstheme="minorHAnsi"/>
        </w:rPr>
        <w:t xml:space="preserve"> </w:t>
      </w:r>
      <w:r w:rsidRPr="00B578C1">
        <w:rPr>
          <w:rFonts w:cstheme="minorHAnsi"/>
        </w:rPr>
        <w:t xml:space="preserve">obniżona, </w:t>
      </w:r>
      <w:bookmarkStart w:id="0" w:name="_Hlk162953185"/>
      <w:r w:rsidRPr="00B578C1">
        <w:rPr>
          <w:rFonts w:cstheme="minorHAnsi"/>
        </w:rPr>
        <w:t>nie więcej jednak niż o 25 %.</w:t>
      </w:r>
      <w:bookmarkEnd w:id="0"/>
    </w:p>
    <w:p w14:paraId="4D949BB9" w14:textId="291066DE" w:rsidR="004E470D" w:rsidRPr="004E470D" w:rsidRDefault="00B578C1" w:rsidP="004E470D">
      <w:pPr>
        <w:numPr>
          <w:ilvl w:val="0"/>
          <w:numId w:val="20"/>
        </w:numPr>
        <w:tabs>
          <w:tab w:val="left" w:pos="851"/>
        </w:tabs>
        <w:spacing w:after="0" w:line="300" w:lineRule="auto"/>
        <w:ind w:left="709" w:right="14" w:hanging="283"/>
        <w:contextualSpacing/>
        <w:rPr>
          <w:rFonts w:cstheme="minorHAnsi"/>
        </w:rPr>
      </w:pPr>
      <w:r w:rsidRPr="004E470D">
        <w:rPr>
          <w:rFonts w:cstheme="minorHAnsi"/>
        </w:rPr>
        <w:t>W przypadku powtórzenia procedury zbycia ruchomości po raz drugi cena ustalona pierwotnie jako cena wywoławcza może zostać obniżona, nie więcej jednak niż o 50 %.</w:t>
      </w:r>
    </w:p>
    <w:p w14:paraId="5C524921" w14:textId="59D3E3D5" w:rsidR="0025662A" w:rsidRPr="004E470D" w:rsidRDefault="00B578C1" w:rsidP="004E470D">
      <w:pPr>
        <w:pStyle w:val="Akapitzlist"/>
        <w:numPr>
          <w:ilvl w:val="0"/>
          <w:numId w:val="20"/>
        </w:numPr>
        <w:tabs>
          <w:tab w:val="left" w:pos="851"/>
        </w:tabs>
        <w:spacing w:after="0" w:line="300" w:lineRule="auto"/>
        <w:ind w:left="709" w:right="14" w:hanging="283"/>
        <w:rPr>
          <w:rFonts w:cstheme="minorHAnsi"/>
        </w:rPr>
      </w:pPr>
      <w:r w:rsidRPr="004E470D">
        <w:rPr>
          <w:rFonts w:cstheme="minorHAnsi"/>
        </w:rPr>
        <w:t>W przypadku kolejnych powtórzeń procedury zbycia ruchomości cena ustalona pierwotnie jako cena wywoławcza może zostać obniżona, nie więcej jednak niż o 70 %.</w:t>
      </w:r>
    </w:p>
    <w:p w14:paraId="5BCC53D3" w14:textId="6BA272D8" w:rsidR="0025662A" w:rsidRDefault="003316EA" w:rsidP="004E470D">
      <w:pPr>
        <w:pStyle w:val="Akapitzlist"/>
        <w:numPr>
          <w:ilvl w:val="0"/>
          <w:numId w:val="20"/>
        </w:numPr>
        <w:tabs>
          <w:tab w:val="left" w:pos="851"/>
        </w:tabs>
        <w:spacing w:after="0" w:line="300" w:lineRule="auto"/>
        <w:ind w:left="709" w:right="14" w:hanging="283"/>
        <w:rPr>
          <w:rFonts w:cstheme="minorHAnsi"/>
        </w:rPr>
      </w:pPr>
      <w:r w:rsidRPr="003316EA">
        <w:rPr>
          <w:rFonts w:cstheme="minorHAnsi"/>
        </w:rPr>
        <w:t>Procedura zbycia ruchomości może być kontynuowana do czasu sprzedaży ruchomości lub do momentu wycofania ruchomości z procedury zbycia ruchomości</w:t>
      </w:r>
      <w:r w:rsidR="004E470D">
        <w:rPr>
          <w:rFonts w:cstheme="minorHAnsi"/>
        </w:rPr>
        <w:t>.</w:t>
      </w:r>
    </w:p>
    <w:p w14:paraId="34DB3C47" w14:textId="77777777" w:rsidR="004E470D" w:rsidRPr="004E470D" w:rsidRDefault="004E470D" w:rsidP="004E470D">
      <w:pPr>
        <w:pStyle w:val="Akapitzlist"/>
        <w:tabs>
          <w:tab w:val="left" w:pos="851"/>
        </w:tabs>
        <w:spacing w:after="0" w:line="300" w:lineRule="auto"/>
        <w:ind w:left="709" w:right="14"/>
        <w:rPr>
          <w:rFonts w:cstheme="minorHAnsi"/>
        </w:rPr>
      </w:pPr>
    </w:p>
    <w:p w14:paraId="442ED675" w14:textId="64A7311E" w:rsidR="00DB60B1" w:rsidRPr="00575FE1" w:rsidRDefault="00DB60B1" w:rsidP="0025662A">
      <w:pPr>
        <w:pStyle w:val="Akapitzlist"/>
        <w:spacing w:after="0" w:line="300" w:lineRule="auto"/>
        <w:ind w:left="455" w:right="456"/>
        <w:jc w:val="center"/>
        <w:rPr>
          <w:rFonts w:eastAsia="Times New Roman" w:cstheme="minorHAnsi"/>
        </w:rPr>
      </w:pPr>
      <w:r w:rsidRPr="00575FE1">
        <w:rPr>
          <w:rFonts w:cstheme="minorHAnsi"/>
        </w:rPr>
        <w:t>§</w:t>
      </w:r>
      <w:r w:rsidR="00BB17B6" w:rsidRPr="00575FE1">
        <w:rPr>
          <w:rFonts w:eastAsia="Times New Roman" w:cstheme="minorHAnsi"/>
        </w:rPr>
        <w:t xml:space="preserve"> 1</w:t>
      </w:r>
      <w:r w:rsidR="004E470D">
        <w:rPr>
          <w:rFonts w:eastAsia="Times New Roman" w:cstheme="minorHAnsi"/>
        </w:rPr>
        <w:t>4</w:t>
      </w:r>
    </w:p>
    <w:p w14:paraId="53E61C12" w14:textId="77777777" w:rsidR="00DB60B1" w:rsidRPr="00575FE1" w:rsidRDefault="00DB60B1" w:rsidP="000B782E">
      <w:pPr>
        <w:pStyle w:val="Akapitzlist"/>
        <w:spacing w:after="0" w:line="300" w:lineRule="auto"/>
        <w:ind w:left="455" w:right="456"/>
        <w:rPr>
          <w:rFonts w:eastAsia="Times New Roman" w:cstheme="minorHAnsi"/>
        </w:rPr>
      </w:pPr>
      <w:r w:rsidRPr="00575FE1">
        <w:rPr>
          <w:rFonts w:eastAsia="Times New Roman" w:cstheme="minorHAnsi"/>
        </w:rPr>
        <w:t>Regulamin wchodzi w życie z dniem podpisania.</w:t>
      </w:r>
    </w:p>
    <w:p w14:paraId="3DCFC903" w14:textId="77777777" w:rsidR="00DB60B1" w:rsidRPr="00575FE1" w:rsidRDefault="00DB60B1" w:rsidP="000B782E">
      <w:pPr>
        <w:spacing w:after="388" w:line="300" w:lineRule="auto"/>
        <w:ind w:left="480" w:right="14"/>
        <w:contextualSpacing/>
        <w:rPr>
          <w:rFonts w:cstheme="minorHAnsi"/>
        </w:rPr>
      </w:pPr>
    </w:p>
    <w:p w14:paraId="4F7AC1C3" w14:textId="77777777" w:rsidR="00DB60B1" w:rsidRPr="00AD43C1" w:rsidRDefault="00DB60B1" w:rsidP="00AD43C1">
      <w:pPr>
        <w:spacing w:after="109" w:line="300" w:lineRule="auto"/>
        <w:ind w:right="456"/>
        <w:rPr>
          <w:rFonts w:cstheme="minorHAnsi"/>
        </w:rPr>
      </w:pPr>
    </w:p>
    <w:p w14:paraId="3E33A0CF" w14:textId="77777777" w:rsidR="007F6CA9" w:rsidRPr="007F6CA9" w:rsidRDefault="007F6CA9" w:rsidP="000B782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F6CA9" w:rsidRPr="007F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B81"/>
    <w:multiLevelType w:val="hybridMultilevel"/>
    <w:tmpl w:val="B62A009E"/>
    <w:lvl w:ilvl="0" w:tplc="07DA9C94">
      <w:start w:val="1"/>
      <w:numFmt w:val="lowerLetter"/>
      <w:lvlText w:val="%1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04738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9A152A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4B704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BE5056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7C01D0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5883D6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8ED710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AE46B0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462FB"/>
    <w:multiLevelType w:val="hybridMultilevel"/>
    <w:tmpl w:val="CE785516"/>
    <w:lvl w:ilvl="0" w:tplc="6CA6A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96E2F"/>
    <w:multiLevelType w:val="hybridMultilevel"/>
    <w:tmpl w:val="76D8D240"/>
    <w:lvl w:ilvl="0" w:tplc="5C84BA02">
      <w:start w:val="2"/>
      <w:numFmt w:val="decimal"/>
      <w:lvlText w:val="%1."/>
      <w:lvlJc w:val="left"/>
      <w:pPr>
        <w:ind w:left="42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0D892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9647F6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D634A4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EEA5BE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9A4E2A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B03C12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C86BD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36C272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B55BF"/>
    <w:multiLevelType w:val="hybridMultilevel"/>
    <w:tmpl w:val="85FA4886"/>
    <w:lvl w:ilvl="0" w:tplc="97C27A04">
      <w:start w:val="2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F36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A49A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0325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C201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EEA7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A7CE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2C29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25D6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112DC9"/>
    <w:multiLevelType w:val="hybridMultilevel"/>
    <w:tmpl w:val="B6DE1302"/>
    <w:lvl w:ilvl="0" w:tplc="A1965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30DAB"/>
    <w:multiLevelType w:val="hybridMultilevel"/>
    <w:tmpl w:val="05E8E7B6"/>
    <w:lvl w:ilvl="0" w:tplc="F738CB8A">
      <w:start w:val="1"/>
      <w:numFmt w:val="decimal"/>
      <w:lvlText w:val="%1."/>
      <w:lvlJc w:val="left"/>
      <w:pPr>
        <w:ind w:left="455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A78C0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ABAC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326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853B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A889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E2618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647E6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A7BEA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654F6B"/>
    <w:multiLevelType w:val="hybridMultilevel"/>
    <w:tmpl w:val="E850D978"/>
    <w:lvl w:ilvl="0" w:tplc="4B28BD24">
      <w:start w:val="2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C9D32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1E8203A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A9C71C0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D0A64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EDA9DA0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3A445A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A5CDB72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D2231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44870"/>
    <w:multiLevelType w:val="hybridMultilevel"/>
    <w:tmpl w:val="7666A184"/>
    <w:lvl w:ilvl="0" w:tplc="D98ED17E">
      <w:start w:val="5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B0A29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847C7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62CC0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700BD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D45B1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BA1D8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30E24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24726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B85099"/>
    <w:multiLevelType w:val="hybridMultilevel"/>
    <w:tmpl w:val="489CF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94E52"/>
    <w:multiLevelType w:val="hybridMultilevel"/>
    <w:tmpl w:val="38E2A68E"/>
    <w:lvl w:ilvl="0" w:tplc="C76C136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3E1D1440"/>
    <w:multiLevelType w:val="hybridMultilevel"/>
    <w:tmpl w:val="80AE04CC"/>
    <w:lvl w:ilvl="0" w:tplc="9E98D9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787110"/>
    <w:multiLevelType w:val="hybridMultilevel"/>
    <w:tmpl w:val="2C66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74EF8"/>
    <w:multiLevelType w:val="hybridMultilevel"/>
    <w:tmpl w:val="20A6FC6A"/>
    <w:lvl w:ilvl="0" w:tplc="E552F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C96C73"/>
    <w:multiLevelType w:val="hybridMultilevel"/>
    <w:tmpl w:val="9B5A4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D505D"/>
    <w:multiLevelType w:val="hybridMultilevel"/>
    <w:tmpl w:val="FDB22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1DD4"/>
    <w:multiLevelType w:val="hybridMultilevel"/>
    <w:tmpl w:val="07A80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966D6"/>
    <w:multiLevelType w:val="hybridMultilevel"/>
    <w:tmpl w:val="ECB46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703CD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16E0B"/>
    <w:multiLevelType w:val="hybridMultilevel"/>
    <w:tmpl w:val="9F60B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72A3A"/>
    <w:multiLevelType w:val="hybridMultilevel"/>
    <w:tmpl w:val="264EC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5798D"/>
    <w:multiLevelType w:val="hybridMultilevel"/>
    <w:tmpl w:val="1F0C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65E30"/>
    <w:multiLevelType w:val="hybridMultilevel"/>
    <w:tmpl w:val="E06C37A2"/>
    <w:lvl w:ilvl="0" w:tplc="91A617AA">
      <w:start w:val="1"/>
      <w:numFmt w:val="decimal"/>
      <w:lvlText w:val="%1."/>
      <w:lvlJc w:val="left"/>
      <w:pPr>
        <w:ind w:left="455"/>
      </w:pPr>
      <w:rPr>
        <w:rFonts w:asciiTheme="minorHAnsi" w:eastAsiaTheme="minorHAns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716D1"/>
    <w:multiLevelType w:val="hybridMultilevel"/>
    <w:tmpl w:val="9A04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228B6"/>
    <w:multiLevelType w:val="hybridMultilevel"/>
    <w:tmpl w:val="A128E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72165">
    <w:abstractNumId w:val="11"/>
  </w:num>
  <w:num w:numId="2" w16cid:durableId="631521274">
    <w:abstractNumId w:val="18"/>
  </w:num>
  <w:num w:numId="3" w16cid:durableId="687677237">
    <w:abstractNumId w:val="17"/>
  </w:num>
  <w:num w:numId="4" w16cid:durableId="1099453010">
    <w:abstractNumId w:val="13"/>
  </w:num>
  <w:num w:numId="5" w16cid:durableId="722219532">
    <w:abstractNumId w:val="14"/>
  </w:num>
  <w:num w:numId="6" w16cid:durableId="853961628">
    <w:abstractNumId w:val="10"/>
  </w:num>
  <w:num w:numId="7" w16cid:durableId="1440024857">
    <w:abstractNumId w:val="8"/>
  </w:num>
  <w:num w:numId="8" w16cid:durableId="719089554">
    <w:abstractNumId w:val="1"/>
  </w:num>
  <w:num w:numId="9" w16cid:durableId="778989951">
    <w:abstractNumId w:val="19"/>
  </w:num>
  <w:num w:numId="10" w16cid:durableId="474638975">
    <w:abstractNumId w:val="21"/>
  </w:num>
  <w:num w:numId="11" w16cid:durableId="2102947779">
    <w:abstractNumId w:val="4"/>
  </w:num>
  <w:num w:numId="12" w16cid:durableId="1880120651">
    <w:abstractNumId w:val="22"/>
  </w:num>
  <w:num w:numId="13" w16cid:durableId="2089038040">
    <w:abstractNumId w:val="6"/>
  </w:num>
  <w:num w:numId="14" w16cid:durableId="1319578564">
    <w:abstractNumId w:val="16"/>
  </w:num>
  <w:num w:numId="15" w16cid:durableId="753477663">
    <w:abstractNumId w:val="0"/>
  </w:num>
  <w:num w:numId="16" w16cid:durableId="1401173170">
    <w:abstractNumId w:val="2"/>
  </w:num>
  <w:num w:numId="17" w16cid:durableId="1208227803">
    <w:abstractNumId w:val="5"/>
  </w:num>
  <w:num w:numId="18" w16cid:durableId="1595480669">
    <w:abstractNumId w:val="3"/>
  </w:num>
  <w:num w:numId="19" w16cid:durableId="1280837336">
    <w:abstractNumId w:val="9"/>
  </w:num>
  <w:num w:numId="20" w16cid:durableId="1815222589">
    <w:abstractNumId w:val="20"/>
  </w:num>
  <w:num w:numId="21" w16cid:durableId="298800951">
    <w:abstractNumId w:val="7"/>
  </w:num>
  <w:num w:numId="22" w16cid:durableId="279916470">
    <w:abstractNumId w:val="15"/>
  </w:num>
  <w:num w:numId="23" w16cid:durableId="673648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3C"/>
    <w:rsid w:val="00001334"/>
    <w:rsid w:val="00014C6A"/>
    <w:rsid w:val="0002181B"/>
    <w:rsid w:val="000444D9"/>
    <w:rsid w:val="00046055"/>
    <w:rsid w:val="00054EB2"/>
    <w:rsid w:val="000A2E2B"/>
    <w:rsid w:val="000B782E"/>
    <w:rsid w:val="000C6B16"/>
    <w:rsid w:val="000E44E6"/>
    <w:rsid w:val="001027AC"/>
    <w:rsid w:val="001106B4"/>
    <w:rsid w:val="00135EEF"/>
    <w:rsid w:val="00147E02"/>
    <w:rsid w:val="00150734"/>
    <w:rsid w:val="001633FC"/>
    <w:rsid w:val="00163C1D"/>
    <w:rsid w:val="00187CD7"/>
    <w:rsid w:val="001A04D2"/>
    <w:rsid w:val="001B7A7B"/>
    <w:rsid w:val="001E77C5"/>
    <w:rsid w:val="0020283D"/>
    <w:rsid w:val="00224E49"/>
    <w:rsid w:val="00232B81"/>
    <w:rsid w:val="00253AFC"/>
    <w:rsid w:val="0025492B"/>
    <w:rsid w:val="0025662A"/>
    <w:rsid w:val="0026401C"/>
    <w:rsid w:val="00276366"/>
    <w:rsid w:val="0028221E"/>
    <w:rsid w:val="002B47F0"/>
    <w:rsid w:val="002D13DF"/>
    <w:rsid w:val="002E212B"/>
    <w:rsid w:val="002F2F77"/>
    <w:rsid w:val="003316EA"/>
    <w:rsid w:val="00344F1C"/>
    <w:rsid w:val="003850E6"/>
    <w:rsid w:val="00392371"/>
    <w:rsid w:val="003A1E3E"/>
    <w:rsid w:val="003C6F2E"/>
    <w:rsid w:val="003D3EF7"/>
    <w:rsid w:val="003D52F6"/>
    <w:rsid w:val="003F756A"/>
    <w:rsid w:val="00444DF9"/>
    <w:rsid w:val="0047097E"/>
    <w:rsid w:val="00491FE9"/>
    <w:rsid w:val="004A711B"/>
    <w:rsid w:val="004C12B8"/>
    <w:rsid w:val="004E470D"/>
    <w:rsid w:val="005140E5"/>
    <w:rsid w:val="005567C7"/>
    <w:rsid w:val="0056184D"/>
    <w:rsid w:val="00575FE1"/>
    <w:rsid w:val="005920F5"/>
    <w:rsid w:val="005D2B71"/>
    <w:rsid w:val="005D3B73"/>
    <w:rsid w:val="00632978"/>
    <w:rsid w:val="0063618B"/>
    <w:rsid w:val="00644EFB"/>
    <w:rsid w:val="006559CC"/>
    <w:rsid w:val="006711CD"/>
    <w:rsid w:val="006C4566"/>
    <w:rsid w:val="006C623C"/>
    <w:rsid w:val="006D4F97"/>
    <w:rsid w:val="00712671"/>
    <w:rsid w:val="00726900"/>
    <w:rsid w:val="00737E80"/>
    <w:rsid w:val="007C0EC8"/>
    <w:rsid w:val="007D4A9E"/>
    <w:rsid w:val="007E7E6E"/>
    <w:rsid w:val="007F6CA9"/>
    <w:rsid w:val="00820E37"/>
    <w:rsid w:val="00844EFE"/>
    <w:rsid w:val="0088373A"/>
    <w:rsid w:val="0088775D"/>
    <w:rsid w:val="0089174C"/>
    <w:rsid w:val="008E17EA"/>
    <w:rsid w:val="008E6745"/>
    <w:rsid w:val="00907468"/>
    <w:rsid w:val="0091471E"/>
    <w:rsid w:val="0092373D"/>
    <w:rsid w:val="0093398E"/>
    <w:rsid w:val="00937CC1"/>
    <w:rsid w:val="00943C22"/>
    <w:rsid w:val="00971169"/>
    <w:rsid w:val="009A5E90"/>
    <w:rsid w:val="009B346A"/>
    <w:rsid w:val="009C5E83"/>
    <w:rsid w:val="00A1027F"/>
    <w:rsid w:val="00A42ED9"/>
    <w:rsid w:val="00A5566C"/>
    <w:rsid w:val="00A6043A"/>
    <w:rsid w:val="00A81AA4"/>
    <w:rsid w:val="00A96A60"/>
    <w:rsid w:val="00AB6AC6"/>
    <w:rsid w:val="00AD43C1"/>
    <w:rsid w:val="00AF47DF"/>
    <w:rsid w:val="00B11EEA"/>
    <w:rsid w:val="00B25FAE"/>
    <w:rsid w:val="00B31CDB"/>
    <w:rsid w:val="00B33105"/>
    <w:rsid w:val="00B3400E"/>
    <w:rsid w:val="00B578C1"/>
    <w:rsid w:val="00B60F45"/>
    <w:rsid w:val="00BA1620"/>
    <w:rsid w:val="00BB17B6"/>
    <w:rsid w:val="00BC1D05"/>
    <w:rsid w:val="00BC534B"/>
    <w:rsid w:val="00BD761C"/>
    <w:rsid w:val="00BE03A0"/>
    <w:rsid w:val="00C02E80"/>
    <w:rsid w:val="00C176F1"/>
    <w:rsid w:val="00C177C6"/>
    <w:rsid w:val="00C27945"/>
    <w:rsid w:val="00C67ED7"/>
    <w:rsid w:val="00CA11B8"/>
    <w:rsid w:val="00CA4920"/>
    <w:rsid w:val="00CC3E34"/>
    <w:rsid w:val="00CD5436"/>
    <w:rsid w:val="00CF5DF3"/>
    <w:rsid w:val="00D1111C"/>
    <w:rsid w:val="00D31F17"/>
    <w:rsid w:val="00D40BD4"/>
    <w:rsid w:val="00D74424"/>
    <w:rsid w:val="00DB60B1"/>
    <w:rsid w:val="00DD3AFC"/>
    <w:rsid w:val="00DF18FB"/>
    <w:rsid w:val="00E20449"/>
    <w:rsid w:val="00E221C6"/>
    <w:rsid w:val="00E55712"/>
    <w:rsid w:val="00E63094"/>
    <w:rsid w:val="00EC1799"/>
    <w:rsid w:val="00EE1241"/>
    <w:rsid w:val="00F353BA"/>
    <w:rsid w:val="00F407C7"/>
    <w:rsid w:val="00F5492E"/>
    <w:rsid w:val="00F55F1A"/>
    <w:rsid w:val="00F74DAB"/>
    <w:rsid w:val="00F94855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2CFC"/>
  <w15:chartTrackingRefBased/>
  <w15:docId w15:val="{8A90A5BE-B37D-42B1-AD3D-A8611D79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3A"/>
    <w:pPr>
      <w:ind w:left="720"/>
      <w:contextualSpacing/>
    </w:pPr>
  </w:style>
  <w:style w:type="paragraph" w:styleId="Bezodstpw">
    <w:name w:val="No Spacing"/>
    <w:uiPriority w:val="1"/>
    <w:qFormat/>
    <w:rsid w:val="005D3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1</TotalTime>
  <Pages>5</Pages>
  <Words>1485</Words>
  <Characters>8911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Agnieszka</dc:creator>
  <cp:keywords/>
  <dc:description/>
  <cp:lastModifiedBy>Rosińska Urszula</cp:lastModifiedBy>
  <cp:revision>2</cp:revision>
  <cp:lastPrinted>2024-07-10T09:56:00Z</cp:lastPrinted>
  <dcterms:created xsi:type="dcterms:W3CDTF">2025-10-10T11:34:00Z</dcterms:created>
  <dcterms:modified xsi:type="dcterms:W3CDTF">2025-10-10T11:34:00Z</dcterms:modified>
</cp:coreProperties>
</file>