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4399" w14:textId="77777777" w:rsidR="00ED5118" w:rsidRPr="00DF1D2B" w:rsidRDefault="00462524" w:rsidP="00DF1D2B">
      <w:pPr>
        <w:spacing w:after="0"/>
        <w:ind w:left="5103"/>
        <w:rPr>
          <w:rFonts w:asciiTheme="majorHAnsi" w:hAnsiTheme="majorHAnsi" w:cstheme="majorHAnsi"/>
        </w:rPr>
      </w:pPr>
      <w:r w:rsidRPr="00DF1D2B">
        <w:rPr>
          <w:rFonts w:asciiTheme="majorHAnsi" w:hAnsiTheme="majorHAnsi" w:cstheme="majorHAnsi"/>
        </w:rPr>
        <w:t>Załącznik</w:t>
      </w:r>
    </w:p>
    <w:p w14:paraId="06CA0759" w14:textId="793789C1" w:rsidR="00ED5118" w:rsidRPr="00DF1D2B" w:rsidRDefault="00462524" w:rsidP="00DF1D2B">
      <w:pPr>
        <w:spacing w:after="0"/>
        <w:ind w:left="5103"/>
        <w:rPr>
          <w:rFonts w:asciiTheme="majorHAnsi" w:hAnsiTheme="majorHAnsi" w:cstheme="majorHAnsi"/>
        </w:rPr>
      </w:pPr>
      <w:r w:rsidRPr="00DF1D2B">
        <w:rPr>
          <w:rFonts w:asciiTheme="majorHAnsi" w:hAnsiTheme="majorHAnsi" w:cstheme="majorHAnsi"/>
        </w:rPr>
        <w:t>do zarządzenia nr</w:t>
      </w:r>
      <w:r w:rsidR="00AE3588">
        <w:rPr>
          <w:rFonts w:asciiTheme="majorHAnsi" w:hAnsiTheme="majorHAnsi" w:cstheme="majorHAnsi"/>
        </w:rPr>
        <w:t xml:space="preserve"> 980/2025</w:t>
      </w:r>
    </w:p>
    <w:p w14:paraId="0F888EBE" w14:textId="77777777" w:rsidR="00ED5118" w:rsidRPr="00DF1D2B" w:rsidRDefault="00462524" w:rsidP="00DF1D2B">
      <w:pPr>
        <w:spacing w:after="0"/>
        <w:ind w:left="5103"/>
        <w:rPr>
          <w:rFonts w:asciiTheme="majorHAnsi" w:hAnsiTheme="majorHAnsi" w:cstheme="majorHAnsi"/>
        </w:rPr>
      </w:pPr>
      <w:r w:rsidRPr="00DF1D2B">
        <w:rPr>
          <w:rFonts w:asciiTheme="majorHAnsi" w:hAnsiTheme="majorHAnsi" w:cstheme="majorHAnsi"/>
        </w:rPr>
        <w:t>Prezydenta m.st. Warszawy</w:t>
      </w:r>
    </w:p>
    <w:p w14:paraId="04D8C55A" w14:textId="7337ED62" w:rsidR="00ED5118" w:rsidRPr="00DF1D2B" w:rsidRDefault="00AE3588" w:rsidP="00DF1D2B">
      <w:pPr>
        <w:ind w:left="5103"/>
        <w:rPr>
          <w:rFonts w:asciiTheme="majorHAnsi" w:hAnsiTheme="majorHAnsi" w:cstheme="majorHAnsi"/>
        </w:rPr>
      </w:pPr>
      <w:r>
        <w:rPr>
          <w:rFonts w:asciiTheme="majorHAnsi" w:hAnsiTheme="majorHAnsi" w:cstheme="majorHAnsi"/>
        </w:rPr>
        <w:t>z 26.06.2025 r.</w:t>
      </w:r>
    </w:p>
    <w:p w14:paraId="0B17B543" w14:textId="77777777" w:rsidR="00ED5118" w:rsidRPr="00DF1D2B" w:rsidRDefault="00462524">
      <w:pPr>
        <w:pStyle w:val="Nagwek1"/>
        <w:rPr>
          <w:rFonts w:asciiTheme="majorHAnsi" w:hAnsiTheme="majorHAnsi" w:cstheme="majorHAnsi"/>
        </w:rPr>
      </w:pPr>
      <w:r w:rsidRPr="00DF1D2B">
        <w:rPr>
          <w:rFonts w:asciiTheme="majorHAnsi" w:hAnsiTheme="majorHAnsi" w:cstheme="majorHAnsi"/>
        </w:rPr>
        <w:t>Ogłoszenie</w:t>
      </w:r>
    </w:p>
    <w:p w14:paraId="27917B39"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Prezydent m.st. Warszawy ogłasza otwarty konkurs ofert na realizację w roku 2025 zadania publicznego w zakresie nauki, szkolnictwa wyższego, edukacji, oświaty i wychowania oraz zaprasza do składania ofert.</w:t>
      </w:r>
    </w:p>
    <w:p w14:paraId="1330EFCF"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1. Rodzaj zadania i wysokość środków publicznych przeznaczonych na realizację zadania.</w:t>
      </w:r>
    </w:p>
    <w:p w14:paraId="576C9138" w14:textId="77777777" w:rsidR="00ED5118" w:rsidRPr="00DF1D2B" w:rsidRDefault="00462524" w:rsidP="00DF1D2B">
      <w:pPr>
        <w:numPr>
          <w:ilvl w:val="0"/>
          <w:numId w:val="1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Zlecenie realizacji zadania publicznego nastąpi w formie wspierania lub powierzania wraz z udzieleniem dotacji.</w:t>
      </w:r>
    </w:p>
    <w:p w14:paraId="7B0BF3F2" w14:textId="77777777" w:rsidR="00ED5118" w:rsidRPr="00DF1D2B" w:rsidRDefault="00462524" w:rsidP="00DF1D2B">
      <w:pPr>
        <w:numPr>
          <w:ilvl w:val="0"/>
          <w:numId w:val="14"/>
        </w:numPr>
        <w:pBdr>
          <w:top w:val="nil"/>
          <w:left w:val="nil"/>
          <w:bottom w:val="nil"/>
          <w:right w:val="nil"/>
          <w:between w:val="nil"/>
        </w:pBdr>
        <w:ind w:left="284" w:hanging="284"/>
        <w:rPr>
          <w:rFonts w:asciiTheme="majorHAnsi" w:hAnsiTheme="majorHAnsi" w:cstheme="majorHAnsi"/>
        </w:rPr>
      </w:pPr>
      <w:r w:rsidRPr="00DF1D2B">
        <w:rPr>
          <w:rFonts w:asciiTheme="majorHAnsi" w:hAnsiTheme="majorHAnsi" w:cstheme="majorHAnsi"/>
          <w:color w:val="000000"/>
        </w:rPr>
        <w:t>Szczegółowe informacje dotyczące zadania zawiera poniższy formularz.</w:t>
      </w:r>
    </w:p>
    <w:p w14:paraId="149A8C9E" w14:textId="77777777" w:rsidR="00ED5118" w:rsidRPr="00DF1D2B" w:rsidRDefault="00462524" w:rsidP="00DF1D2B">
      <w:pPr>
        <w:pBdr>
          <w:top w:val="nil"/>
          <w:left w:val="nil"/>
          <w:bottom w:val="nil"/>
          <w:right w:val="nil"/>
          <w:between w:val="nil"/>
        </w:pBdr>
        <w:ind w:left="284"/>
        <w:rPr>
          <w:rFonts w:asciiTheme="majorHAnsi" w:hAnsiTheme="majorHAnsi" w:cstheme="majorHAnsi"/>
          <w:b/>
          <w:color w:val="000000"/>
        </w:rPr>
      </w:pPr>
      <w:r w:rsidRPr="00DF1D2B">
        <w:rPr>
          <w:rFonts w:asciiTheme="majorHAnsi" w:hAnsiTheme="majorHAnsi" w:cstheme="majorHAnsi"/>
          <w:b/>
          <w:color w:val="000000"/>
        </w:rPr>
        <w:t>Informacje o zadaniu:</w:t>
      </w:r>
    </w:p>
    <w:p w14:paraId="08114D10" w14:textId="16F8BEC6"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 xml:space="preserve">Nazwa zadania konkursowego: </w:t>
      </w:r>
      <w:r w:rsidR="00D23FAC" w:rsidRPr="00DF1D2B">
        <w:rPr>
          <w:rFonts w:asciiTheme="majorHAnsi" w:hAnsiTheme="majorHAnsi" w:cstheme="majorHAnsi"/>
          <w:b/>
          <w:color w:val="000000"/>
        </w:rPr>
        <w:t>UA Edukacja - Wsparcie</w:t>
      </w:r>
    </w:p>
    <w:p w14:paraId="1AC6131D"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Forma realizacji zadania: powierzenie lub wsparcie</w:t>
      </w:r>
    </w:p>
    <w:p w14:paraId="3BD81122"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 xml:space="preserve">Cel zadania: </w:t>
      </w:r>
      <w:r w:rsidR="00757335" w:rsidRPr="00DF1D2B">
        <w:rPr>
          <w:rFonts w:asciiTheme="majorHAnsi" w:hAnsiTheme="majorHAnsi" w:cstheme="majorHAnsi"/>
          <w:color w:val="000000"/>
        </w:rPr>
        <w:t>wsparcie edukacyjne dzieci i młodzieży z Ukrainy, uzupełnienie ich wiedzy szkolnej, niwelowanie różnic edukacyjnych – zwiększenie szans edukacyjnych uczniów ukraińskich</w:t>
      </w:r>
    </w:p>
    <w:p w14:paraId="6B1617C5"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Opis zadania:</w:t>
      </w:r>
    </w:p>
    <w:p w14:paraId="499AD947" w14:textId="5E484E82" w:rsidR="00ED5118" w:rsidRPr="00DF1D2B" w:rsidRDefault="00462524"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 xml:space="preserve">Grupą docelową (adresatami) zadania </w:t>
      </w:r>
      <w:r w:rsidRPr="00DF1D2B">
        <w:rPr>
          <w:rFonts w:asciiTheme="majorHAnsi" w:eastAsia="Arial" w:hAnsiTheme="majorHAnsi" w:cstheme="majorHAnsi"/>
          <w:color w:val="333333"/>
          <w:highlight w:val="white"/>
        </w:rPr>
        <w:t xml:space="preserve">są osoby przybyłe z Ukrainy </w:t>
      </w:r>
      <w:r w:rsidR="00757335" w:rsidRPr="00DF1D2B">
        <w:rPr>
          <w:rFonts w:asciiTheme="majorHAnsi" w:eastAsia="Arial" w:hAnsiTheme="majorHAnsi" w:cstheme="majorHAnsi"/>
          <w:color w:val="333333"/>
          <w:highlight w:val="white"/>
        </w:rPr>
        <w:t>do Warszawy po 24 lutego 2022 r</w:t>
      </w:r>
      <w:r w:rsidR="005318E7" w:rsidRPr="00DF1D2B">
        <w:rPr>
          <w:rFonts w:asciiTheme="majorHAnsi" w:eastAsia="Arial" w:hAnsiTheme="majorHAnsi" w:cstheme="majorHAnsi"/>
          <w:color w:val="333333"/>
        </w:rPr>
        <w:t>.</w:t>
      </w:r>
      <w:r w:rsidRPr="00DF1D2B">
        <w:rPr>
          <w:rFonts w:asciiTheme="majorHAnsi" w:eastAsia="Arial" w:hAnsiTheme="majorHAnsi" w:cstheme="majorHAnsi"/>
          <w:color w:val="333333"/>
        </w:rPr>
        <w:t xml:space="preserve"> Działania kierowane są do uczniów szkół podstawowych i ponadpodstawowych mieszkających w Warszawie/ uczących się w warszawskich szkołach / korzystających z edukacji zdalnej prowadz</w:t>
      </w:r>
      <w:r w:rsidR="00DF1D2B">
        <w:rPr>
          <w:rFonts w:asciiTheme="majorHAnsi" w:eastAsia="Arial" w:hAnsiTheme="majorHAnsi" w:cstheme="majorHAnsi"/>
          <w:color w:val="333333"/>
        </w:rPr>
        <w:t>onej na terenie m.st. Warszawy.</w:t>
      </w:r>
    </w:p>
    <w:p w14:paraId="548E443F" w14:textId="77777777" w:rsidR="00F077CD" w:rsidRPr="00DF1D2B" w:rsidRDefault="00F077CD" w:rsidP="00DF1D2B">
      <w:pPr>
        <w:pStyle w:val="Akapitzlist"/>
        <w:ind w:left="567"/>
        <w:contextualSpacing w:val="0"/>
      </w:pPr>
      <w:r w:rsidRPr="00DF1D2B">
        <w:t>W ramach zadania Oferent prowadzi zajęcia edukacyjne dla dzieci i młodzieży z Ukrainy, mające na celu utrwalenie wiadomości przewidzianych w podstawie programowej oraz nabycie umiejętności potrzebnych do prawidłowego funkcjonowania ucznia w szkole. Kluczowa jest realizacja zajęć zgodnie z podstawą programową systemu edukacji polskiej.</w:t>
      </w:r>
    </w:p>
    <w:p w14:paraId="70DCFB5A" w14:textId="77777777" w:rsidR="009C741F" w:rsidRPr="00DF1D2B" w:rsidRDefault="009C741F"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Oferent jest zobowiązany do przedstawienia w ofercie szczegółowych informacji na temat zasad (sposobów i kryteriów) rekrutacji uczestników oraz opisu ich potrzeb.</w:t>
      </w:r>
    </w:p>
    <w:p w14:paraId="68A39D0F" w14:textId="77777777" w:rsidR="00090C19" w:rsidRPr="00DF1D2B" w:rsidRDefault="00070056" w:rsidP="00DF1D2B">
      <w:pPr>
        <w:pBdr>
          <w:top w:val="nil"/>
          <w:left w:val="nil"/>
          <w:bottom w:val="nil"/>
          <w:right w:val="nil"/>
          <w:between w:val="nil"/>
        </w:pBdr>
        <w:ind w:left="567"/>
        <w:rPr>
          <w:rFonts w:asciiTheme="majorHAnsi" w:hAnsiTheme="majorHAnsi" w:cstheme="majorHAnsi"/>
          <w:color w:val="000000"/>
        </w:rPr>
      </w:pPr>
      <w:r w:rsidRPr="00DF1D2B">
        <w:t>Organizacja zajęć dla uczniów musi być dostosowana do wieku, potrzeb i możliwości uczestników zadania. Działania powinny być prowadzone w formie zajęć grupowych.</w:t>
      </w:r>
      <w:r w:rsidR="00E157E7" w:rsidRPr="00DF1D2B">
        <w:t xml:space="preserve"> W uzasadnionych przypadkach, w czasie szkolnych ferii letnich istnieje możliwość realizacji półkolonii edukacyjnych z programem zajęć wyrównawczych</w:t>
      </w:r>
      <w:r w:rsidR="004904F6" w:rsidRPr="00DF1D2B">
        <w:t>.</w:t>
      </w:r>
    </w:p>
    <w:p w14:paraId="67CD41E8" w14:textId="5FBB7AD5" w:rsidR="00ED5118" w:rsidRPr="00DF1D2B" w:rsidRDefault="00462524"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Zajęcia edukacyjne można prowadzić</w:t>
      </w:r>
      <w:r w:rsidR="00E157E7" w:rsidRPr="00DF1D2B">
        <w:rPr>
          <w:rFonts w:asciiTheme="majorHAnsi" w:hAnsiTheme="majorHAnsi" w:cstheme="majorHAnsi"/>
          <w:color w:val="000000"/>
        </w:rPr>
        <w:t xml:space="preserve"> w dowolnej przestrzeni miejskiej, jednak Miasto stołeczne Warszawa zastrzega sobie prawo do wskazania konkretnej lokalizacji realizacji działań. Planowane jest uruchomienie punktu wakacyjnego w </w:t>
      </w:r>
      <w:r w:rsidR="00F3190D" w:rsidRPr="00DF1D2B">
        <w:rPr>
          <w:rFonts w:asciiTheme="majorHAnsi" w:hAnsiTheme="majorHAnsi" w:cstheme="majorHAnsi"/>
          <w:color w:val="000000"/>
        </w:rPr>
        <w:t>dzielnicy Śródmieście (Powiśle)</w:t>
      </w:r>
      <w:r w:rsidR="004904F6" w:rsidRPr="00DF1D2B">
        <w:rPr>
          <w:rFonts w:asciiTheme="majorHAnsi" w:hAnsiTheme="majorHAnsi" w:cstheme="majorHAnsi"/>
          <w:color w:val="000000"/>
        </w:rPr>
        <w:t xml:space="preserve">, w którym mogłyby się </w:t>
      </w:r>
      <w:r w:rsidR="004904F6" w:rsidRPr="00DF1D2B">
        <w:rPr>
          <w:rFonts w:asciiTheme="majorHAnsi" w:hAnsiTheme="majorHAnsi" w:cstheme="majorHAnsi"/>
          <w:color w:val="000000"/>
        </w:rPr>
        <w:lastRenderedPageBreak/>
        <w:t>odbywać zajęcia</w:t>
      </w:r>
      <w:r w:rsidR="004E60A5" w:rsidRPr="00DF1D2B">
        <w:rPr>
          <w:rFonts w:asciiTheme="majorHAnsi" w:hAnsiTheme="majorHAnsi" w:cstheme="majorHAnsi"/>
          <w:color w:val="000000"/>
        </w:rPr>
        <w:t xml:space="preserve"> edukacyjne</w:t>
      </w:r>
      <w:r w:rsidR="004904F6" w:rsidRPr="00DF1D2B">
        <w:rPr>
          <w:rFonts w:asciiTheme="majorHAnsi" w:hAnsiTheme="majorHAnsi" w:cstheme="majorHAnsi"/>
          <w:color w:val="000000"/>
        </w:rPr>
        <w:t xml:space="preserve"> dla trzech grup </w:t>
      </w:r>
      <w:r w:rsidR="00FF4D9F" w:rsidRPr="00DF1D2B">
        <w:rPr>
          <w:rFonts w:asciiTheme="majorHAnsi" w:hAnsiTheme="majorHAnsi" w:cstheme="majorHAnsi"/>
          <w:color w:val="000000"/>
        </w:rPr>
        <w:t>uczniów (ok. 20 osobowych). Za rekru</w:t>
      </w:r>
      <w:r w:rsidR="004E60A5" w:rsidRPr="00DF1D2B">
        <w:rPr>
          <w:rFonts w:asciiTheme="majorHAnsi" w:hAnsiTheme="majorHAnsi" w:cstheme="majorHAnsi"/>
          <w:color w:val="000000"/>
        </w:rPr>
        <w:t>tację uczestników odpowiada</w:t>
      </w:r>
      <w:r w:rsidR="00FF4D9F" w:rsidRPr="00DF1D2B">
        <w:rPr>
          <w:rFonts w:asciiTheme="majorHAnsi" w:hAnsiTheme="majorHAnsi" w:cstheme="majorHAnsi"/>
          <w:color w:val="000000"/>
        </w:rPr>
        <w:t xml:space="preserve"> Oferent. </w:t>
      </w:r>
      <w:r w:rsidR="00A720E2" w:rsidRPr="00DF1D2B">
        <w:rPr>
          <w:rFonts w:asciiTheme="majorHAnsi" w:hAnsiTheme="majorHAnsi" w:cstheme="majorHAnsi"/>
          <w:color w:val="000000"/>
        </w:rPr>
        <w:t>Zakres działań będzie podlegał uzgodnieniom w trakcie aktualizacji oferty. Organizacje, deklarujące gotowość do działania również w punktach wskazanych przez Miasto, są zobowiązane do umieszczenia stosownej informacji w ofercie wraz z określeniem zakresu i skali działań. W nowym roku szkolnym Miasto dopuszcza przedłużenie działalności na rzecz dzieci ukraińskich (uchodźców) w jednej z placówek oświatowych na terenie dzielnicy Śródmieście.</w:t>
      </w:r>
    </w:p>
    <w:p w14:paraId="48664BFB" w14:textId="77777777" w:rsidR="00ED5118" w:rsidRPr="00DF1D2B" w:rsidRDefault="000C6742" w:rsidP="00DF1D2B">
      <w:pPr>
        <w:pBdr>
          <w:top w:val="nil"/>
          <w:left w:val="nil"/>
          <w:bottom w:val="nil"/>
          <w:right w:val="nil"/>
          <w:between w:val="nil"/>
        </w:pBdr>
        <w:ind w:left="567"/>
        <w:rPr>
          <w:rFonts w:asciiTheme="majorHAnsi" w:hAnsiTheme="majorHAnsi" w:cstheme="majorHAnsi"/>
          <w:color w:val="000000"/>
        </w:rPr>
      </w:pPr>
      <w:bookmarkStart w:id="0" w:name="_gjdgxs" w:colFirst="0" w:colLast="0"/>
      <w:bookmarkEnd w:id="0"/>
      <w:r w:rsidRPr="00DF1D2B">
        <w:rPr>
          <w:rFonts w:asciiTheme="majorHAnsi" w:hAnsiTheme="majorHAnsi" w:cstheme="majorHAnsi"/>
          <w:color w:val="000000"/>
        </w:rPr>
        <w:t>Miasto Stołeczne Warszawa zastrzega sobie możliwość uregulowania w umowie kwestii praw autorskich do utworów wytworzonych w ramach realizacji zadania publicznego.</w:t>
      </w:r>
    </w:p>
    <w:p w14:paraId="177DA8D7" w14:textId="77777777" w:rsidR="00ED5118" w:rsidRPr="00DF1D2B" w:rsidRDefault="00462524"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W przypadku zadań, których rozpoczęcie jest wcześniejsze niż ogłoszenie wyników konkursu, wydatkowanie środków finansowych z dotacji możliwe jest od dnia ogłoszenia wyników konkursu ofert, zaś wydatkowanie ewentualnych środków finansowych własnych Zleceniobiorcy i środków finansowych z innych źródeł możliwe jest od dnia rozpoczęcia realizacji zadania.</w:t>
      </w:r>
    </w:p>
    <w:p w14:paraId="32FC18D4" w14:textId="77777777" w:rsidR="00ED5118" w:rsidRPr="00DF1D2B" w:rsidRDefault="00462524" w:rsidP="00DF1D2B">
      <w:pPr>
        <w:pBdr>
          <w:top w:val="nil"/>
          <w:left w:val="nil"/>
          <w:bottom w:val="nil"/>
          <w:right w:val="nil"/>
          <w:between w:val="nil"/>
        </w:pBdr>
        <w:spacing w:after="0"/>
        <w:ind w:left="567"/>
        <w:rPr>
          <w:rFonts w:asciiTheme="majorHAnsi" w:hAnsiTheme="majorHAnsi" w:cstheme="majorHAnsi"/>
          <w:color w:val="000000"/>
        </w:rPr>
      </w:pPr>
      <w:r w:rsidRPr="00DF1D2B">
        <w:rPr>
          <w:rFonts w:asciiTheme="majorHAnsi" w:hAnsiTheme="majorHAnsi" w:cstheme="majorHAnsi"/>
          <w:b/>
          <w:color w:val="000000"/>
        </w:rPr>
        <w:t>Obowiązki Oferenta wyłonionego w konkursie</w:t>
      </w:r>
    </w:p>
    <w:p w14:paraId="0C515609" w14:textId="77777777" w:rsidR="00ED5118" w:rsidRPr="00DF1D2B" w:rsidRDefault="00462524" w:rsidP="00DF1D2B">
      <w:pPr>
        <w:numPr>
          <w:ilvl w:val="0"/>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Realizacja zadania publicznego jest możliwa dzięki wsparciu finansowemu zapewnionemu przez Fundusz Narodów Zjednoczonych na rzecz Dzieci UNICEF. Oferent, który otrzyma dotację będzie dodatkowo zobowiązany do stosowania logotypu przygotowanego przez UNICEF oraz składania uproszczonych sprawozdań z realizacji zadania na wezwanie Biura Edukacji.</w:t>
      </w:r>
    </w:p>
    <w:p w14:paraId="275E42A8" w14:textId="77777777" w:rsidR="00ED5118" w:rsidRPr="00DF1D2B" w:rsidRDefault="00462524" w:rsidP="00DF1D2B">
      <w:pPr>
        <w:numPr>
          <w:ilvl w:val="0"/>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Oferent, który uzyska wsparcie m.st. Warszawy, będzie zobowiązany do:</w:t>
      </w:r>
    </w:p>
    <w:p w14:paraId="662FE106" w14:textId="77777777" w:rsidR="00ED5118" w:rsidRPr="00DF1D2B" w:rsidRDefault="00462524" w:rsidP="00DF1D2B">
      <w:pPr>
        <w:numPr>
          <w:ilvl w:val="0"/>
          <w:numId w:val="3"/>
        </w:numPr>
        <w:pBdr>
          <w:top w:val="nil"/>
          <w:left w:val="nil"/>
          <w:bottom w:val="nil"/>
          <w:right w:val="nil"/>
          <w:between w:val="nil"/>
        </w:pBdr>
        <w:spacing w:after="0"/>
        <w:ind w:left="1134" w:hanging="283"/>
        <w:rPr>
          <w:rFonts w:asciiTheme="majorHAnsi" w:hAnsiTheme="majorHAnsi" w:cstheme="majorHAnsi"/>
        </w:rPr>
      </w:pPr>
      <w:r w:rsidRPr="00DF1D2B">
        <w:rPr>
          <w:rFonts w:asciiTheme="majorHAnsi" w:hAnsiTheme="majorHAnsi" w:cstheme="majorHAnsi"/>
          <w:color w:val="000000"/>
        </w:rPr>
        <w:t>przekazania, szczegółowego opisu i harmonogramu działań umożliwiających przeprowadzenie kontroli merytorycznej zadania;</w:t>
      </w:r>
    </w:p>
    <w:p w14:paraId="55D893A5" w14:textId="77777777" w:rsidR="00ED5118" w:rsidRPr="00DF1D2B" w:rsidRDefault="008C6AE0" w:rsidP="00DF1D2B">
      <w:pPr>
        <w:numPr>
          <w:ilvl w:val="0"/>
          <w:numId w:val="3"/>
        </w:numPr>
        <w:pBdr>
          <w:top w:val="nil"/>
          <w:left w:val="nil"/>
          <w:bottom w:val="nil"/>
          <w:right w:val="nil"/>
          <w:between w:val="nil"/>
        </w:pBdr>
        <w:spacing w:after="0"/>
        <w:ind w:left="1134" w:hanging="283"/>
        <w:rPr>
          <w:rFonts w:asciiTheme="majorHAnsi" w:hAnsiTheme="majorHAnsi" w:cstheme="majorHAnsi"/>
          <w:color w:val="000000"/>
        </w:rPr>
      </w:pPr>
      <w:r w:rsidRPr="00DF1D2B">
        <w:rPr>
          <w:rFonts w:asciiTheme="majorHAnsi" w:hAnsiTheme="majorHAnsi" w:cstheme="majorHAnsi"/>
          <w:bCs/>
          <w:color w:val="000000"/>
        </w:rPr>
        <w:t>stosowania zapisów ustawy z dnia 13 maja 2016 r. o przeciwdziałaniu zagrożeniom przestępczością na tle seksualnym i ochronie małoletnich, ze szczególnym uwzględnieniem Standardów Ochrony Małoletnich</w:t>
      </w:r>
      <w:r w:rsidR="00462524" w:rsidRPr="00DF1D2B">
        <w:rPr>
          <w:rFonts w:asciiTheme="majorHAnsi" w:hAnsiTheme="majorHAnsi" w:cstheme="majorHAnsi"/>
          <w:color w:val="000000"/>
        </w:rPr>
        <w:t>;</w:t>
      </w:r>
    </w:p>
    <w:p w14:paraId="70A5136E" w14:textId="77777777" w:rsidR="00ED5118" w:rsidRPr="00DF1D2B" w:rsidRDefault="00462524" w:rsidP="00DF1D2B">
      <w:pPr>
        <w:numPr>
          <w:ilvl w:val="0"/>
          <w:numId w:val="3"/>
        </w:numPr>
        <w:pBdr>
          <w:top w:val="nil"/>
          <w:left w:val="nil"/>
          <w:bottom w:val="nil"/>
          <w:right w:val="nil"/>
          <w:between w:val="nil"/>
        </w:pBdr>
        <w:ind w:left="1135" w:hanging="284"/>
        <w:rPr>
          <w:rFonts w:asciiTheme="majorHAnsi" w:hAnsiTheme="majorHAnsi" w:cstheme="majorHAnsi"/>
          <w:color w:val="000000"/>
        </w:rPr>
      </w:pPr>
      <w:r w:rsidRPr="00DF1D2B">
        <w:rPr>
          <w:rFonts w:asciiTheme="majorHAnsi" w:hAnsiTheme="majorHAnsi" w:cstheme="majorHAnsi"/>
          <w:color w:val="000000"/>
        </w:rPr>
        <w:t>przedstawienia w sprawozdaniu (w formie dowolnej) listy szkół, których uczniowie uczestniczyli w zadaniu.</w:t>
      </w:r>
    </w:p>
    <w:p w14:paraId="50393202" w14:textId="77777777" w:rsidR="00ED5118" w:rsidRPr="00DF1D2B" w:rsidRDefault="00462524" w:rsidP="00DF1D2B">
      <w:pPr>
        <w:pBdr>
          <w:top w:val="nil"/>
          <w:left w:val="nil"/>
          <w:bottom w:val="nil"/>
          <w:right w:val="nil"/>
          <w:between w:val="nil"/>
        </w:pBdr>
        <w:spacing w:after="0"/>
        <w:ind w:left="567"/>
        <w:rPr>
          <w:rFonts w:asciiTheme="majorHAnsi" w:hAnsiTheme="majorHAnsi" w:cstheme="majorHAnsi"/>
          <w:color w:val="000000"/>
        </w:rPr>
      </w:pPr>
      <w:r w:rsidRPr="00DF1D2B">
        <w:rPr>
          <w:rFonts w:asciiTheme="majorHAnsi" w:hAnsiTheme="majorHAnsi" w:cstheme="majorHAnsi"/>
          <w:b/>
          <w:color w:val="000000"/>
        </w:rPr>
        <w:t>Informacje dotyczące oceny ofert</w:t>
      </w:r>
    </w:p>
    <w:p w14:paraId="3D405416" w14:textId="77777777" w:rsidR="00ED5118" w:rsidRPr="00DF1D2B" w:rsidRDefault="00462524"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Przy ocenie ofert Komisja konkursowa do opiniowania ofert będzie brała pod uwagę kryteria zawarte w załączniku nr 2 do niniejszego ogłoszenia jakość wykonania zadania, kwalifikacje osób, przy udziale których oferent będzie realizować zadanie, opis kosztów realizacji zadania publicznego (kalkulacja) i strukturę wkładu własnego, w tym opis wkładu rzeczowego i osobowego. Komisja przy udzielaniu rekomendacji będzie brała pod uwagę informacje i opinie dotyczące realizowania podobnych działań edukacyjno-wychowawczych w latach 2022-2024, w tym projektów realizowanych na rzecz osób z Ukrainy przybyłych do Warszawy w wyniku konfliktu zbrojnego na terytorium tego państwa. Istotne jest doświadczenie oferenta w realizacji zadań o zbliżonym charakterze lub doświadczenie osób realizujących tego typu zadania.</w:t>
      </w:r>
    </w:p>
    <w:p w14:paraId="18EB4C96" w14:textId="77777777" w:rsidR="00ED5118" w:rsidRPr="00DF1D2B" w:rsidRDefault="00462524" w:rsidP="00DF1D2B">
      <w:pPr>
        <w:numPr>
          <w:ilvl w:val="0"/>
          <w:numId w:val="5"/>
        </w:numPr>
        <w:pBdr>
          <w:top w:val="nil"/>
          <w:left w:val="nil"/>
          <w:bottom w:val="nil"/>
          <w:right w:val="nil"/>
          <w:between w:val="nil"/>
        </w:pBdr>
        <w:spacing w:after="0"/>
        <w:ind w:left="641" w:hanging="357"/>
        <w:rPr>
          <w:rFonts w:asciiTheme="majorHAnsi" w:hAnsiTheme="majorHAnsi" w:cstheme="majorHAnsi"/>
        </w:rPr>
      </w:pPr>
      <w:r w:rsidRPr="00DF1D2B">
        <w:rPr>
          <w:rFonts w:asciiTheme="majorHAnsi" w:hAnsiTheme="majorHAnsi" w:cstheme="majorHAnsi"/>
          <w:color w:val="000000"/>
        </w:rPr>
        <w:t>Zapewnienie dostępności osobom ze szczególnymi potrzebami:</w:t>
      </w:r>
    </w:p>
    <w:p w14:paraId="15E5CFF7" w14:textId="77777777" w:rsidR="00ED5118" w:rsidRPr="00DF1D2B" w:rsidRDefault="00462524" w:rsidP="00DF1D2B">
      <w:pPr>
        <w:pBdr>
          <w:top w:val="nil"/>
          <w:left w:val="nil"/>
          <w:bottom w:val="nil"/>
          <w:right w:val="nil"/>
          <w:between w:val="nil"/>
        </w:pBdr>
        <w:ind w:left="567"/>
        <w:rPr>
          <w:rFonts w:asciiTheme="majorHAnsi" w:hAnsiTheme="majorHAnsi" w:cstheme="majorHAnsi"/>
          <w:color w:val="000000"/>
        </w:rPr>
      </w:pPr>
      <w:r w:rsidRPr="00DF1D2B">
        <w:rPr>
          <w:rFonts w:asciiTheme="majorHAnsi" w:hAnsiTheme="majorHAnsi" w:cstheme="majorHAnsi"/>
          <w:color w:val="000000"/>
        </w:rPr>
        <w:t xml:space="preserve">Oferent jest zobowiązany do stosowania zapisów ustawy z dnia 19 lipca 2019 r. o zapewnianiu dostępności osobom ze szczególnymi potrzebami. Zadanie publiczne powinno być zaprojektowane i realizowane przez Oferenta w taki sposób, aby zapewniały pełny i skuteczny udział osób ze szczególnymi potrzebami, na zasadzie równości z innymi osobami. Zapewnianie dostępności oznacza obowiązek osiągnięcia stanu faktycznego, w którym osoba ze szczególnymi potrzebami jako odbiorca </w:t>
      </w:r>
      <w:r w:rsidRPr="00DF1D2B">
        <w:rPr>
          <w:rFonts w:asciiTheme="majorHAnsi" w:hAnsiTheme="majorHAnsi" w:cstheme="majorHAnsi"/>
          <w:color w:val="000000"/>
        </w:rPr>
        <w:lastRenderedPageBreak/>
        <w:t>zadania publicznego może w nim uczestniczyć na zasadzie równości z innymi osobami. Zgodnie z art. 7 ust 1 ustawy o zapewnianiu dostępności, w indywidualnym przypadku, jeżeli Oferent nie jest w stanie, w szczególności ze względów technicznych lub prawnych, zapewnić dostępności osobie ze szczególnymi potrzebami w zakresie, o którym mowa w art. 6 pkt 1 i 3 (minimalne wymagania w zakresie dostępności architektonicznej i informacyjno-komunikacyjnej), Oferent ten jest obowiązany zapewnić takiej osobie dostęp alternatywny. W ramach realizacji zadania dopuszcza się umieszczanie w punkcie V. oferty „Kalkulacja przewidywanych kosztów realizacji zadania publicznego” kosztów związanych z zapewnianiem dostępności, z wyłączeniem wydatków inwestycyjnych i remontowych.</w:t>
      </w:r>
    </w:p>
    <w:p w14:paraId="2B654FD9" w14:textId="77777777" w:rsidR="00ED5118" w:rsidRPr="00DF1D2B" w:rsidRDefault="00462524" w:rsidP="00DF1D2B">
      <w:pPr>
        <w:numPr>
          <w:ilvl w:val="0"/>
          <w:numId w:val="5"/>
        </w:numPr>
        <w:pBdr>
          <w:top w:val="nil"/>
          <w:left w:val="nil"/>
          <w:bottom w:val="nil"/>
          <w:right w:val="nil"/>
          <w:between w:val="nil"/>
        </w:pBdr>
        <w:spacing w:after="0"/>
        <w:ind w:left="568" w:hanging="284"/>
        <w:rPr>
          <w:rFonts w:asciiTheme="majorHAnsi" w:hAnsiTheme="majorHAnsi" w:cstheme="majorHAnsi"/>
        </w:rPr>
      </w:pPr>
      <w:r w:rsidRPr="00DF1D2B">
        <w:rPr>
          <w:rFonts w:asciiTheme="majorHAnsi" w:hAnsiTheme="majorHAnsi" w:cstheme="majorHAnsi"/>
          <w:color w:val="000000"/>
        </w:rPr>
        <w:t>Rezultaty zadania:</w:t>
      </w:r>
    </w:p>
    <w:p w14:paraId="68B4FDAA" w14:textId="3D174043" w:rsidR="00ED5118" w:rsidRPr="00DF1D2B" w:rsidRDefault="00462524" w:rsidP="00DF1D2B">
      <w:pPr>
        <w:pBdr>
          <w:top w:val="nil"/>
          <w:left w:val="nil"/>
          <w:bottom w:val="nil"/>
          <w:right w:val="nil"/>
          <w:between w:val="nil"/>
        </w:pBdr>
        <w:spacing w:after="0"/>
        <w:ind w:left="567"/>
        <w:rPr>
          <w:rFonts w:asciiTheme="majorHAnsi" w:hAnsiTheme="majorHAnsi" w:cstheme="majorHAnsi"/>
          <w:color w:val="000000"/>
        </w:rPr>
      </w:pPr>
      <w:r w:rsidRPr="00DF1D2B">
        <w:rPr>
          <w:rFonts w:asciiTheme="majorHAnsi" w:hAnsiTheme="majorHAnsi" w:cstheme="majorHAnsi"/>
          <w:color w:val="000000"/>
        </w:rPr>
        <w:t>Przy opisie zakładanych rezultatów istotne jest odwołanie się do wskaźników ilościowych:</w:t>
      </w:r>
    </w:p>
    <w:p w14:paraId="027447B1" w14:textId="4009109F" w:rsidR="00ED5118" w:rsidRPr="00DF1D2B" w:rsidRDefault="00462524" w:rsidP="00DF1D2B">
      <w:pPr>
        <w:numPr>
          <w:ilvl w:val="1"/>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liczba uczestników zajęć,</w:t>
      </w:r>
    </w:p>
    <w:p w14:paraId="41EEF81D" w14:textId="36CF8C23" w:rsidR="00ED5118" w:rsidRPr="00DF1D2B" w:rsidRDefault="00462524" w:rsidP="00DF1D2B">
      <w:pPr>
        <w:numPr>
          <w:ilvl w:val="1"/>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liczba godzin zajęć,</w:t>
      </w:r>
    </w:p>
    <w:p w14:paraId="07B14DD4" w14:textId="533FF587" w:rsidR="00ED5118" w:rsidRPr="00DF1D2B" w:rsidRDefault="00462524" w:rsidP="00DF1D2B">
      <w:pPr>
        <w:numPr>
          <w:ilvl w:val="1"/>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liczba warsztatów/zajęć,</w:t>
      </w:r>
    </w:p>
    <w:p w14:paraId="3803679A" w14:textId="77777777" w:rsidR="00ED5118" w:rsidRPr="00DF1D2B" w:rsidRDefault="00462524" w:rsidP="00DF1D2B">
      <w:pPr>
        <w:numPr>
          <w:ilvl w:val="1"/>
          <w:numId w:val="21"/>
        </w:numPr>
        <w:pBdr>
          <w:top w:val="nil"/>
          <w:left w:val="nil"/>
          <w:bottom w:val="nil"/>
          <w:right w:val="nil"/>
          <w:between w:val="nil"/>
        </w:pBdr>
        <w:spacing w:after="0"/>
        <w:ind w:left="851" w:hanging="284"/>
        <w:rPr>
          <w:rFonts w:asciiTheme="majorHAnsi" w:hAnsiTheme="majorHAnsi" w:cstheme="majorHAnsi"/>
        </w:rPr>
      </w:pPr>
      <w:r w:rsidRPr="00DF1D2B">
        <w:rPr>
          <w:rFonts w:asciiTheme="majorHAnsi" w:hAnsiTheme="majorHAnsi" w:cstheme="majorHAnsi"/>
          <w:color w:val="000000"/>
        </w:rPr>
        <w:t>liczba osób zatrudnionych przy realizacji zadania.</w:t>
      </w:r>
    </w:p>
    <w:p w14:paraId="75AA5183" w14:textId="57BB1B93" w:rsidR="00ED5118" w:rsidRPr="00DF1D2B" w:rsidRDefault="00462524" w:rsidP="00DF1D2B">
      <w:pPr>
        <w:ind w:left="646"/>
        <w:rPr>
          <w:rFonts w:asciiTheme="majorHAnsi" w:hAnsiTheme="majorHAnsi" w:cstheme="majorHAnsi"/>
        </w:rPr>
      </w:pPr>
      <w:r w:rsidRPr="00DF1D2B">
        <w:rPr>
          <w:rFonts w:asciiTheme="majorHAnsi" w:hAnsiTheme="majorHAnsi" w:cstheme="majorHAnsi"/>
        </w:rPr>
        <w:t>Powyższe rezultaty należy wpisać do tabeli, o której mowa w punkcie 7.</w:t>
      </w:r>
    </w:p>
    <w:p w14:paraId="2206153D"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Wymagane jest wypełnienie tabeli w pkt III.6 oferty tj. „Dodatkowe informacje dotyczące rezultatów realizacji zadania publicznego”.</w:t>
      </w:r>
    </w:p>
    <w:p w14:paraId="5E69885F"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 xml:space="preserve">Termin realizacji zadania: </w:t>
      </w:r>
      <w:r w:rsidR="009D1FA9" w:rsidRPr="00DF1D2B">
        <w:rPr>
          <w:rFonts w:asciiTheme="majorHAnsi" w:hAnsiTheme="majorHAnsi" w:cstheme="majorHAnsi"/>
        </w:rPr>
        <w:t>1</w:t>
      </w:r>
      <w:r w:rsidR="00D80A49" w:rsidRPr="00DF1D2B">
        <w:rPr>
          <w:rFonts w:asciiTheme="majorHAnsi" w:hAnsiTheme="majorHAnsi" w:cstheme="majorHAnsi"/>
        </w:rPr>
        <w:t>4</w:t>
      </w:r>
      <w:r w:rsidR="009D1FA9" w:rsidRPr="00DF1D2B">
        <w:rPr>
          <w:rFonts w:asciiTheme="majorHAnsi" w:hAnsiTheme="majorHAnsi" w:cstheme="majorHAnsi"/>
        </w:rPr>
        <w:t xml:space="preserve"> lipca</w:t>
      </w:r>
      <w:r w:rsidRPr="00DF1D2B">
        <w:rPr>
          <w:rFonts w:asciiTheme="majorHAnsi" w:hAnsiTheme="majorHAnsi" w:cstheme="majorHAnsi"/>
          <w:color w:val="000000"/>
        </w:rPr>
        <w:t xml:space="preserve"> – 30 listopada 2025 roku</w:t>
      </w:r>
    </w:p>
    <w:p w14:paraId="11A17BBB" w14:textId="401DC6F2"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Miejsce realizacji zadania: Warszawa.</w:t>
      </w:r>
    </w:p>
    <w:p w14:paraId="7B1478E4"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W ramach niniejszego otwartego konkursu ofert każdy podmiot może złożyć maksymalnie jedną ofertę.</w:t>
      </w:r>
    </w:p>
    <w:p w14:paraId="5B6EB95D" w14:textId="77777777" w:rsidR="00ED5118" w:rsidRPr="00DF1D2B" w:rsidRDefault="00462524" w:rsidP="00DF1D2B">
      <w:pPr>
        <w:numPr>
          <w:ilvl w:val="0"/>
          <w:numId w:val="5"/>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 xml:space="preserve">Środki przeznaczone na realizację zadania: </w:t>
      </w:r>
      <w:r w:rsidR="009D1FA9" w:rsidRPr="00DF1D2B">
        <w:rPr>
          <w:rFonts w:asciiTheme="majorHAnsi" w:hAnsiTheme="majorHAnsi" w:cstheme="majorHAnsi"/>
          <w:color w:val="000000"/>
        </w:rPr>
        <w:t>6</w:t>
      </w:r>
      <w:r w:rsidRPr="00DF1D2B">
        <w:rPr>
          <w:rFonts w:asciiTheme="majorHAnsi" w:hAnsiTheme="majorHAnsi" w:cstheme="majorHAnsi"/>
          <w:color w:val="000000"/>
        </w:rPr>
        <w:t>00 000 zł.</w:t>
      </w:r>
    </w:p>
    <w:p w14:paraId="7F4AF9FF"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2. Zasady przyznawania dotacji</w:t>
      </w:r>
    </w:p>
    <w:p w14:paraId="7A65B461"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Postępowanie konkursowe odbywać się będzie z uwzględnieniem zasad określonych w ustawie z dnia 24 kwietnia 2003 roku o działalności pożytku publicznego i o wolontariacie.</w:t>
      </w:r>
    </w:p>
    <w:p w14:paraId="2AC5DA1C"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 przyznanie dotacji w ramach otwartego konkursu ofert mogą się ubiegać organizacje pozarządowe i podmioty, o których mowa w art. 3 ust. 3 ustawy z dnia 24 kwietnia 2003 r. o działalności pożytku publicznego i o wolontariacie (dalej jako oferenci).</w:t>
      </w:r>
    </w:p>
    <w:p w14:paraId="034D3B2B"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Przy realizacji zadania możliwa jest współpraca z podmiotami niewymienionymi w art. 3 ust. 3 ustawy z dnia 24 kwietnia 2003 r. o działalności pożytku publicznego i o wolontariacie (również z jednostkami organizacyjnymi lub osobami prawnymi m.st. Warszawy). Podmioty te mogą uczestniczyć w zadaniu oferując wsparcie merytoryczne lub rzeczowe. Informacje o sposobie zaangażowania takiego podmiotu w realizację zadania należy przedstawić w pkt. III.3 oferty tj. „Syntetycznym opisie zadania”.</w:t>
      </w:r>
    </w:p>
    <w:p w14:paraId="44E38FAD"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Na dane zadanie oferent może otrzymać dotację tylko z jednego biura Urzędu m.st. Warszawy lub Urzędu dzielnicy m.st. Warszawy.</w:t>
      </w:r>
    </w:p>
    <w:p w14:paraId="690BBC62"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Oferty, które nie spełnią wymogów formalnych, nie będą podlegać rozpatrywaniu pod względem merytorycznym.</w:t>
      </w:r>
    </w:p>
    <w:p w14:paraId="0246F8F6" w14:textId="77777777" w:rsidR="00ED5118" w:rsidRPr="00DF1D2B" w:rsidRDefault="00462524" w:rsidP="00DF1D2B">
      <w:pPr>
        <w:numPr>
          <w:ilvl w:val="0"/>
          <w:numId w:val="4"/>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Prezydent m.st. Warszawy zastrzega sobie prawo do:</w:t>
      </w:r>
    </w:p>
    <w:p w14:paraId="77C9A46B" w14:textId="77777777" w:rsidR="00ED5118" w:rsidRPr="00DF1D2B" w:rsidRDefault="00462524" w:rsidP="00DF1D2B">
      <w:pPr>
        <w:numPr>
          <w:ilvl w:val="0"/>
          <w:numId w:val="6"/>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lastRenderedPageBreak/>
        <w:t>odstąpienia od ogłoszenia wyników otwartego konkursu ofert, bez podania przyczyny, w części lub w całości;</w:t>
      </w:r>
    </w:p>
    <w:p w14:paraId="0DB59FC7" w14:textId="77777777" w:rsidR="00ED5118" w:rsidRPr="00DF1D2B" w:rsidRDefault="00462524" w:rsidP="00DF1D2B">
      <w:pPr>
        <w:numPr>
          <w:ilvl w:val="0"/>
          <w:numId w:val="6"/>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zwiększenia wysokości środków publicznych przeznaczonych na realizację zadania w trakcie trwania konkursu;</w:t>
      </w:r>
    </w:p>
    <w:p w14:paraId="0BBF45ED" w14:textId="77777777" w:rsidR="00ED5118" w:rsidRPr="00DF1D2B" w:rsidRDefault="00462524" w:rsidP="00DF1D2B">
      <w:pPr>
        <w:numPr>
          <w:ilvl w:val="0"/>
          <w:numId w:val="6"/>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wyboru więcej niż jednej oferty, wyboru jednej oferty lub żadnej z ofert;</w:t>
      </w:r>
    </w:p>
    <w:p w14:paraId="43EA4427" w14:textId="77777777" w:rsidR="00ED5118" w:rsidRPr="00DF1D2B" w:rsidRDefault="00462524" w:rsidP="00DF1D2B">
      <w:pPr>
        <w:numPr>
          <w:ilvl w:val="0"/>
          <w:numId w:val="6"/>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zmniejszenia wysokości wnioskowanej dotacji.</w:t>
      </w:r>
    </w:p>
    <w:p w14:paraId="0D4568B5" w14:textId="77777777" w:rsidR="00ED5118" w:rsidRPr="00DF1D2B" w:rsidRDefault="00462524" w:rsidP="00DF1D2B">
      <w:pPr>
        <w:numPr>
          <w:ilvl w:val="0"/>
          <w:numId w:val="4"/>
        </w:numPr>
        <w:pBdr>
          <w:top w:val="nil"/>
          <w:left w:val="nil"/>
          <w:bottom w:val="nil"/>
          <w:right w:val="nil"/>
          <w:between w:val="nil"/>
        </w:pBdr>
        <w:ind w:left="284" w:hanging="284"/>
        <w:rPr>
          <w:rFonts w:asciiTheme="majorHAnsi" w:hAnsiTheme="majorHAnsi" w:cstheme="majorHAnsi"/>
        </w:rPr>
      </w:pPr>
      <w:r w:rsidRPr="00DF1D2B">
        <w:rPr>
          <w:rFonts w:asciiTheme="majorHAnsi" w:hAnsiTheme="majorHAnsi" w:cstheme="majorHAnsi"/>
          <w:color w:val="000000"/>
        </w:rPr>
        <w:t>Prezydent m.st. Warszawy zastrzega sobie prawo do publicznego udostępniania w tzw. księdze dotacji informacji zawartych przez oferenta w pkt. III.3 oferty tj. „Syntetycznym opisie zadania”.</w:t>
      </w:r>
    </w:p>
    <w:p w14:paraId="3ACEA7BE"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3. Warunki realizacji zadania publicznego</w:t>
      </w:r>
    </w:p>
    <w:p w14:paraId="25060283"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Zadanie przedstawione w ofercie może być realizowane wspólnie przez kilku oferentów, jeżeli oferta została złożona wspólnie, zgodnie z art. 14 ust. 2-5 ustawy z dnia 24 kwietnia 2003 roku o działalności pożytku publicznego i o wolontariacie. W przypadku realizowania zadania wspólnie - oferenci odpowiadają solidarnie za realizację zadania.</w:t>
      </w:r>
    </w:p>
    <w:p w14:paraId="729B10F0"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Nie dopuszcza się pobierania świadczeń pieniężnych od odbiorców zadania publicznego.</w:t>
      </w:r>
    </w:p>
    <w:p w14:paraId="41E5AD9D"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r.) oraz wydanych na jego podstawie krajowych przepisach z zakresu ochrony danych osobowych w tym ustawy z dnia 10 maja 2018 r. o ochronie danych osobowych oraz ustawy z dnia 27 sierpnia 2009 r. o finansach publicznych.</w:t>
      </w:r>
    </w:p>
    <w:p w14:paraId="23424591"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W przypadku planowania zlecania części zadania innemu podmiotowi oferent powinien uwzględnić taką informację w składanej ofercie. Informację tę oferent umieszcza w planie i harmonogramie działań w kolumnie „Zakres działania realizowany przez podmiot niebędący stroną umowy”.</w:t>
      </w:r>
    </w:p>
    <w:p w14:paraId="407383DF"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Jeżeli dany wydatek wykazany w sprawozdaniu z realizacji zadania publicznego nie będzie równy odpowiedniemu kosztowi określonemu w umowie, to uznaje się go za zgodny z umową wtedy, gdy:</w:t>
      </w:r>
    </w:p>
    <w:p w14:paraId="2A96E4B2" w14:textId="77777777" w:rsidR="00ED5118" w:rsidRPr="00DF1D2B" w:rsidRDefault="00462524" w:rsidP="00DF1D2B">
      <w:pPr>
        <w:numPr>
          <w:ilvl w:val="0"/>
          <w:numId w:val="8"/>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nie nastąpiło zwiększenie tego wydatku o więcej niż 25 % w części dotyczącej przyznanej dotacji,</w:t>
      </w:r>
    </w:p>
    <w:p w14:paraId="79D03C9A" w14:textId="77777777" w:rsidR="00ED5118" w:rsidRPr="00DF1D2B" w:rsidRDefault="00462524" w:rsidP="00DF1D2B">
      <w:pPr>
        <w:numPr>
          <w:ilvl w:val="0"/>
          <w:numId w:val="8"/>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nastąpiło jego zmniejszenie w dowolnej wysokości.</w:t>
      </w:r>
    </w:p>
    <w:p w14:paraId="44B1EC23"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Naruszenie postanowienia, o którym mowa w ust. 5, uważa się za pobranie części dotacji w nadmiernej wysokości.</w:t>
      </w:r>
    </w:p>
    <w:p w14:paraId="78BCCEDB"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W celu ochrony środowiska naturalnego przed negatywnymi skutkami użycia przedmiotów jednorazowego użytku wykonanych z tworzyw sztucznych w umowie o wsparcie bądź powierzenie realizacji zadania publicznego Zleceniobiorca zobowiązany będzie do:</w:t>
      </w:r>
    </w:p>
    <w:p w14:paraId="7E58A715"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2A0ED6D4"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podawania poczęstunku bez używania jednorazowych talerzy, sztućców, kubeczków, mieszadełek, patyczków, słomek i pojemników na żywność wykonanych z poliolefinowych tworzyw sztucznych;</w:t>
      </w:r>
    </w:p>
    <w:p w14:paraId="165442C8"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podawania wody lub innych napojów w opakowaniach wielokrotnego użytku lub w butelkach zwrotnych;</w:t>
      </w:r>
    </w:p>
    <w:p w14:paraId="3992BC3D"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lastRenderedPageBreak/>
        <w:t>podawania do spożycia wody z kranu, jeśli spełnione są wynikające z przepisów prawa wymagania dotyczące jakości wody przeznaczonej do spożycia przez ludzi;</w:t>
      </w:r>
    </w:p>
    <w:p w14:paraId="4D4C31DF"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wykorzystywania przy wykonywaniu umowy materiałów, które pochodzą lub podlegają procesowi recyklingu;</w:t>
      </w:r>
    </w:p>
    <w:p w14:paraId="7F221D50"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rezygnacji z używania jednorazowych opakowań, toreb, siatek i reklamówek wykonanych z poliolefinowych tworzyw sztucznych;</w:t>
      </w:r>
    </w:p>
    <w:p w14:paraId="5ACB7614"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nieużywania balonów wraz z patyczkami plastikowymi;</w:t>
      </w:r>
    </w:p>
    <w:p w14:paraId="4A7DCC62"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niewypuszczania lampionów;</w:t>
      </w:r>
    </w:p>
    <w:p w14:paraId="5716B3C0" w14:textId="77777777" w:rsidR="00ED5118" w:rsidRPr="00DF1D2B" w:rsidRDefault="00462524" w:rsidP="00DF1D2B">
      <w:pPr>
        <w:numPr>
          <w:ilvl w:val="1"/>
          <w:numId w:val="2"/>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nieużywania sztucznych ogni i petard.</w:t>
      </w:r>
    </w:p>
    <w:p w14:paraId="1CFAB906" w14:textId="77777777" w:rsidR="00ED5118" w:rsidRPr="00DF1D2B" w:rsidRDefault="00462524" w:rsidP="00DF1D2B">
      <w:pPr>
        <w:numPr>
          <w:ilvl w:val="0"/>
          <w:numId w:val="2"/>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Przy wykonywaniu zadania publicznego Zleceniobiorca kieruje się zasadą równości, w szczególności dba o równe traktowanie wszystkich uczestników zadania publicznego.</w:t>
      </w:r>
    </w:p>
    <w:p w14:paraId="5998E0B6" w14:textId="77777777" w:rsidR="00ED5118" w:rsidRPr="00DF1D2B" w:rsidRDefault="00462524" w:rsidP="00DF1D2B">
      <w:pPr>
        <w:numPr>
          <w:ilvl w:val="0"/>
          <w:numId w:val="2"/>
        </w:numPr>
        <w:pBdr>
          <w:top w:val="nil"/>
          <w:left w:val="nil"/>
          <w:bottom w:val="nil"/>
          <w:right w:val="nil"/>
          <w:between w:val="nil"/>
        </w:pBdr>
        <w:ind w:left="284" w:hanging="284"/>
        <w:rPr>
          <w:rFonts w:asciiTheme="majorHAnsi" w:hAnsiTheme="majorHAnsi" w:cstheme="majorHAnsi"/>
        </w:rPr>
      </w:pPr>
      <w:r w:rsidRPr="00DF1D2B">
        <w:rPr>
          <w:rFonts w:asciiTheme="majorHAnsi" w:hAnsiTheme="majorHAnsi" w:cstheme="majorHAnsi"/>
          <w:color w:val="000000"/>
        </w:rPr>
        <w:t>Informujemy, że na podstawie art. 24 ust. 1 ustawy z dnia 14 czerwca 2024 r. o ochronie sygnalistów (Dz. U. z 2024 r. poz. 928) w Urzędzie m.st. Warszawy obowiązuje Procedura zgłoszeń wewnętrznych wprowadzona zarządzeniem nr 1542/2024 Prezydenta m.st. Warszawy z dnia 13 września 2024 r. w sprawie wprowadzenia Procedury zgłoszeń wewnętrznych w Urzędzie m.st. Warszawy. Procedura ta dostępna jest w Biuletynie Informacji Publicznej m.st. Warszawy nowy.bip.um.warszawa.pl oraz na stronie um.warszawa.pl/waw/ngo w zakładce otwarte konkursy ofert.</w:t>
      </w:r>
    </w:p>
    <w:p w14:paraId="58F19589"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4. Składanie ofert</w:t>
      </w:r>
    </w:p>
    <w:p w14:paraId="4702866E" w14:textId="7897BEF3" w:rsidR="00ED5118" w:rsidRPr="00DF1D2B" w:rsidRDefault="00462524" w:rsidP="00DF1D2B">
      <w:pPr>
        <w:numPr>
          <w:ilvl w:val="0"/>
          <w:numId w:val="15"/>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 xml:space="preserve">Ofertę, na druku zgodnym ze wzorem określonym w aktualnym rozporządzeniu Przewodniczącego Komitetu do spraw Pożytku Publicznego w sprawie wzorów ofert i ramowych wzorów umów dotyczących realizacji zadań publicznych oraz wzorów sprawozdań z wykonania tych zadań, należy złożyć w Generatorze Wniosków dostępnym pod adresem www.witkac.pl </w:t>
      </w:r>
      <w:r w:rsidRPr="00DF1D2B">
        <w:rPr>
          <w:rFonts w:asciiTheme="majorHAnsi" w:hAnsiTheme="majorHAnsi" w:cstheme="majorHAnsi"/>
          <w:b/>
          <w:color w:val="000000"/>
        </w:rPr>
        <w:t xml:space="preserve">do dnia </w:t>
      </w:r>
      <w:r w:rsidR="00AE3588">
        <w:rPr>
          <w:rFonts w:asciiTheme="majorHAnsi" w:hAnsiTheme="majorHAnsi" w:cstheme="majorHAnsi"/>
          <w:b/>
          <w:color w:val="000000"/>
        </w:rPr>
        <w:t xml:space="preserve">18 lipca 2025 </w:t>
      </w:r>
      <w:r w:rsidRPr="00DF1D2B">
        <w:rPr>
          <w:rFonts w:asciiTheme="majorHAnsi" w:hAnsiTheme="majorHAnsi" w:cstheme="majorHAnsi"/>
          <w:b/>
          <w:color w:val="000000"/>
        </w:rPr>
        <w:t>roku do godz. 16.00.</w:t>
      </w:r>
    </w:p>
    <w:p w14:paraId="46EC05BF" w14:textId="77777777" w:rsidR="00ED5118" w:rsidRPr="00DF1D2B" w:rsidRDefault="00462524" w:rsidP="00DF1D2B">
      <w:pPr>
        <w:numPr>
          <w:ilvl w:val="0"/>
          <w:numId w:val="15"/>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Oferty złożone w Generatorze Wniosków nie mogą być uzupełniane ani anulowane. W przypadku chęci wycofania oferty złożonej w Generatorze Wniosków, należy dostarczyć do biura podpisane przez osoby upoważnione oświadczenie o wycofaniu oferty.</w:t>
      </w:r>
    </w:p>
    <w:p w14:paraId="67A55DC8" w14:textId="77777777" w:rsidR="00ED5118" w:rsidRPr="00DF1D2B" w:rsidRDefault="00462524" w:rsidP="00DF1D2B">
      <w:pPr>
        <w:numPr>
          <w:ilvl w:val="0"/>
          <w:numId w:val="15"/>
        </w:numPr>
        <w:pBdr>
          <w:top w:val="nil"/>
          <w:left w:val="nil"/>
          <w:bottom w:val="nil"/>
          <w:right w:val="nil"/>
          <w:between w:val="nil"/>
        </w:pBdr>
        <w:ind w:left="284" w:hanging="284"/>
        <w:rPr>
          <w:rFonts w:asciiTheme="majorHAnsi" w:hAnsiTheme="majorHAnsi" w:cstheme="majorHAnsi"/>
        </w:rPr>
      </w:pPr>
      <w:r w:rsidRPr="00DF1D2B">
        <w:rPr>
          <w:rFonts w:asciiTheme="majorHAnsi" w:hAnsiTheme="majorHAnsi" w:cstheme="majorHAnsi"/>
          <w:color w:val="000000"/>
        </w:rPr>
        <w:t>Przed złożeniem oferty w Generatorze Wniosków pracownicy Biura Edukacji Urzędu m.st. Warszawy udzielają oferentom stosownych wyjaśnień, dotyczących zadań konkursowych oraz wymogów formalnych (nr telefonu 22 443 35 44 od poniedziałku do piątku w godz. 09:00 – 15:00).</w:t>
      </w:r>
    </w:p>
    <w:p w14:paraId="4E0BA2FD"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5. Wymagana dokumentacja</w:t>
      </w:r>
    </w:p>
    <w:p w14:paraId="2F789BE1"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b/>
          <w:color w:val="000000"/>
        </w:rPr>
        <w:t>Obligatoryjnie</w:t>
      </w:r>
      <w:r w:rsidRPr="00DF1D2B">
        <w:rPr>
          <w:rFonts w:asciiTheme="majorHAnsi" w:hAnsiTheme="majorHAnsi" w:cstheme="majorHAnsi"/>
          <w:color w:val="000000"/>
        </w:rPr>
        <w:t xml:space="preserve"> należy złożyć:</w:t>
      </w:r>
    </w:p>
    <w:p w14:paraId="4100C3A8" w14:textId="77777777" w:rsidR="00ED5118" w:rsidRPr="00DF1D2B" w:rsidRDefault="00462524" w:rsidP="00DF1D2B">
      <w:pPr>
        <w:numPr>
          <w:ilvl w:val="0"/>
          <w:numId w:val="9"/>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w przypadku, gdy oferent nie podlega wpisowi w Krajowym Rejestrze Sądowym oraz w ewidencjach prowadzonych przez Prezydenta m.st. Warszawy – kopia aktualnego wyciągu z innego rejestru lub ewidencji, ewentualnie inny dokument potwierdzający status prawny oferenta. Odpis musi być zgodny ze stanem faktycznym i prawnym, niezależnie od tego, kiedy został wydany;</w:t>
      </w:r>
    </w:p>
    <w:p w14:paraId="555ED15B" w14:textId="77777777" w:rsidR="00ED5118" w:rsidRPr="00DF1D2B" w:rsidRDefault="00462524" w:rsidP="00DF1D2B">
      <w:pPr>
        <w:numPr>
          <w:ilvl w:val="0"/>
          <w:numId w:val="9"/>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kopię umowy lub statutu spółki - w przypadku gdy oferent jest spółką prawa handlowego, o której mowa w art. 3 ust. 3 pkt 4 ustawy z dnia 24 kwietnia 2003 r. o działalności pożytku publicznego i o wolontariacie.</w:t>
      </w:r>
    </w:p>
    <w:p w14:paraId="31927B48"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color w:val="000000"/>
        </w:rPr>
      </w:pPr>
      <w:r w:rsidRPr="00DF1D2B">
        <w:rPr>
          <w:rFonts w:asciiTheme="majorHAnsi" w:hAnsiTheme="majorHAnsi" w:cstheme="majorHAnsi"/>
          <w:color w:val="000000"/>
        </w:rPr>
        <w:t>Załączniki należy złożyć w formie elektronicznej za pośrednictwem Generatora Wniosków dodając je do składanej oferty.</w:t>
      </w:r>
    </w:p>
    <w:p w14:paraId="5B905039"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Poza załącznikami wymienionymi w ust. 1, oferent może dołączyć rekomendacje i opinie oraz dokumenty świadczące o przeprowadzonej diagnozie sytuacji np. badania, ankiety, opracowania.</w:t>
      </w:r>
    </w:p>
    <w:p w14:paraId="4A627718"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lastRenderedPageBreak/>
        <w:t>W przypadku, gdy oferta składana jest przez więcej niż jednego oferenta, każdy z oferentów zobowiązany jest do załączenia wszystkich dokumentów wymienionych w ust. 1 pkt 1–2.</w:t>
      </w:r>
    </w:p>
    <w:p w14:paraId="3E7FAC22"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Oferent zobowiązany jest w terminie do 15 dni roboczych od daty otrzymania powiadomienia o przyznaniu dotacji, przesłać oświadczenie o przyjęciu bądź nieprzyjęciu dotacji wraz z podaniem terminu przesłania dokumentów niezbędnych do przygotowania projektu umowy o wsparcie bądź powierzenie realizacji zadania publicznego, w tym:</w:t>
      </w:r>
    </w:p>
    <w:p w14:paraId="42FB7B14" w14:textId="77777777" w:rsidR="00ED5118" w:rsidRPr="00DF1D2B" w:rsidRDefault="00462524" w:rsidP="00DF1D2B">
      <w:pPr>
        <w:numPr>
          <w:ilvl w:val="0"/>
          <w:numId w:val="10"/>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zaktualizowanej oferty, stanowiącej załącznik do umowy, potwierdzenia aktualności danych oferenta zawartych w ofercie, niezbędnych do przygotowania umowy.</w:t>
      </w:r>
    </w:p>
    <w:p w14:paraId="44AD893B"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Za prawidłowo podpisane oświadczenia zostaną uznane te, w których podpisy złożono z pieczęcią imienną, a w przypadku braku pieczątki – złożono czytelne podpisy lub podpis opatrzono wydrukiem imienia i nazwiska, umożliwiając tym samym weryfikację osób podpisujących oświadczenie zgodnie z Krajowym Rejestrem Sądowym, aktualnym wyciągiem z właściwego rejestru lub ewidencji, ewentualnie innym dokumentem potwierdzającym umocowanie do podpisania umowy w imieniu oferenta. Złożenie parafy nie jest wystarczające do uznania, że oświadczenie zostało prawidłowo podpisane.</w:t>
      </w:r>
    </w:p>
    <w:p w14:paraId="5076638A"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Nieprzesłanie oświadczenia oraz dokumentów, o których mowa w ust. 5, tożsame jest z nieprzyjęciem dotacji przez oferenta. Istnieje możliwość przesunięcia terminu złożenia dokumentów po uzyskaniu zgody Biura Edukacji Urzędu m.st. Warszawy.</w:t>
      </w:r>
    </w:p>
    <w:p w14:paraId="68D58D6E" w14:textId="77777777" w:rsidR="00ED5118" w:rsidRPr="00DF1D2B" w:rsidRDefault="00462524" w:rsidP="00DF1D2B">
      <w:pPr>
        <w:numPr>
          <w:ilvl w:val="0"/>
          <w:numId w:val="16"/>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Oferenci, którzy planują realizację zadania publicznego w lokalu użytkowym z zasobów m.st. Warszawy zobligowani są do przesłania wraz z dokumentami, o których mowa w ust. 5 pkt 1–3 następujących danych:</w:t>
      </w:r>
    </w:p>
    <w:p w14:paraId="639FAF2B" w14:textId="77777777" w:rsidR="00ED5118" w:rsidRPr="00DF1D2B" w:rsidRDefault="00462524" w:rsidP="00DF1D2B">
      <w:pPr>
        <w:numPr>
          <w:ilvl w:val="0"/>
          <w:numId w:val="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adres lokalu użytkowego z zasobów m.st. Warszawy, w którym realizowane będzie zadanie publiczne;</w:t>
      </w:r>
    </w:p>
    <w:p w14:paraId="000FE848" w14:textId="77777777" w:rsidR="00ED5118" w:rsidRPr="00DF1D2B" w:rsidRDefault="00462524" w:rsidP="00DF1D2B">
      <w:pPr>
        <w:numPr>
          <w:ilvl w:val="0"/>
          <w:numId w:val="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powierzchnia podstawowa lokalu użytkowego;</w:t>
      </w:r>
    </w:p>
    <w:p w14:paraId="7D4EB598" w14:textId="77777777" w:rsidR="00ED5118" w:rsidRPr="00DF1D2B" w:rsidRDefault="00462524" w:rsidP="00DF1D2B">
      <w:pPr>
        <w:numPr>
          <w:ilvl w:val="0"/>
          <w:numId w:val="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powierzchnia dodatkowa lokalu użytkowego;</w:t>
      </w:r>
    </w:p>
    <w:p w14:paraId="4F998533" w14:textId="77777777" w:rsidR="00ED5118" w:rsidRPr="00DF1D2B" w:rsidRDefault="00462524" w:rsidP="00DF1D2B">
      <w:pPr>
        <w:numPr>
          <w:ilvl w:val="0"/>
          <w:numId w:val="7"/>
        </w:numPr>
        <w:pBdr>
          <w:top w:val="nil"/>
          <w:left w:val="nil"/>
          <w:bottom w:val="nil"/>
          <w:right w:val="nil"/>
          <w:between w:val="nil"/>
        </w:pBdr>
        <w:ind w:left="567" w:hanging="283"/>
        <w:rPr>
          <w:rFonts w:asciiTheme="majorHAnsi" w:hAnsiTheme="majorHAnsi" w:cstheme="majorHAnsi"/>
        </w:rPr>
      </w:pPr>
      <w:r w:rsidRPr="00DF1D2B">
        <w:rPr>
          <w:rFonts w:asciiTheme="majorHAnsi" w:hAnsiTheme="majorHAnsi" w:cstheme="majorHAnsi"/>
          <w:color w:val="000000"/>
        </w:rPr>
        <w:t>powierzchnia lokalu użytkowego przeznaczoną na realizację zadania publicznego (z podziałem na powierzchnię podstawową i dodatkową).</w:t>
      </w:r>
    </w:p>
    <w:p w14:paraId="4F97DC41" w14:textId="77777777" w:rsidR="00ED5118" w:rsidRPr="00DF1D2B" w:rsidRDefault="00462524" w:rsidP="00DF1D2B">
      <w:pPr>
        <w:rPr>
          <w:rFonts w:asciiTheme="majorHAnsi" w:hAnsiTheme="majorHAnsi" w:cstheme="majorHAnsi"/>
        </w:rPr>
      </w:pPr>
      <w:r w:rsidRPr="00DF1D2B">
        <w:rPr>
          <w:rFonts w:asciiTheme="majorHAnsi" w:hAnsiTheme="majorHAnsi" w:cstheme="majorHAnsi"/>
        </w:rPr>
        <w:t>§ 6. Tryb i kryteria stosowane przy wyborze ofert oraz termin dokonania wyboru ofert</w:t>
      </w:r>
    </w:p>
    <w:p w14:paraId="0FE98494" w14:textId="51660502" w:rsidR="00ED5118" w:rsidRPr="00DF1D2B" w:rsidRDefault="00462524" w:rsidP="00DF1D2B">
      <w:pPr>
        <w:numPr>
          <w:ilvl w:val="0"/>
          <w:numId w:val="1"/>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Złożone oferty podlegać będą ocenie formalnej zgodnie z kryteriami wskazanymi w Karcie Oceny Formalnej Oferty, której wzór stanowi załącznik nr 1 do niniejszego ogłoszenia.</w:t>
      </w:r>
    </w:p>
    <w:p w14:paraId="0C8FE8E0" w14:textId="77777777" w:rsidR="00ED5118" w:rsidRPr="00DF1D2B" w:rsidRDefault="00462524" w:rsidP="00DF1D2B">
      <w:pPr>
        <w:numPr>
          <w:ilvl w:val="0"/>
          <w:numId w:val="1"/>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Oceny merytorycznej złożonych ofert dokona komisja konkursowa do opiniowania ofert. Wzór Protokołu Oceny Oferty stanowi załącznik nr 2 do niniejszego ogłoszenia.</w:t>
      </w:r>
    </w:p>
    <w:p w14:paraId="07E59B51" w14:textId="77777777" w:rsidR="00ED5118" w:rsidRPr="00DF1D2B" w:rsidRDefault="00462524" w:rsidP="00DF1D2B">
      <w:pPr>
        <w:numPr>
          <w:ilvl w:val="0"/>
          <w:numId w:val="1"/>
        </w:numPr>
        <w:pBdr>
          <w:top w:val="nil"/>
          <w:left w:val="nil"/>
          <w:bottom w:val="nil"/>
          <w:right w:val="nil"/>
          <w:between w:val="nil"/>
        </w:pBdr>
        <w:spacing w:after="0"/>
        <w:ind w:left="284" w:hanging="284"/>
        <w:rPr>
          <w:rFonts w:asciiTheme="majorHAnsi" w:hAnsiTheme="majorHAnsi" w:cstheme="majorHAnsi"/>
        </w:rPr>
      </w:pPr>
      <w:r w:rsidRPr="00DF1D2B">
        <w:rPr>
          <w:rFonts w:asciiTheme="majorHAnsi" w:hAnsiTheme="majorHAnsi" w:cstheme="majorHAnsi"/>
          <w:color w:val="000000"/>
        </w:rPr>
        <w:t>Po ocenie merytorycznej złożonych ofert rekomendacje co do wyboru ofert przedkładane są Prezydentowi m.st. Warszawy.</w:t>
      </w:r>
    </w:p>
    <w:p w14:paraId="0E841FE9" w14:textId="77777777" w:rsidR="00ED5118" w:rsidRPr="00DF1D2B" w:rsidRDefault="00462524" w:rsidP="00DF1D2B">
      <w:pPr>
        <w:numPr>
          <w:ilvl w:val="0"/>
          <w:numId w:val="1"/>
        </w:numPr>
        <w:pBdr>
          <w:top w:val="nil"/>
          <w:left w:val="nil"/>
          <w:bottom w:val="nil"/>
          <w:right w:val="nil"/>
          <w:between w:val="nil"/>
        </w:pBdr>
        <w:spacing w:after="0"/>
        <w:ind w:left="284" w:hanging="284"/>
        <w:rPr>
          <w:rFonts w:asciiTheme="majorHAnsi" w:hAnsiTheme="majorHAnsi" w:cstheme="majorHAnsi"/>
          <w:color w:val="000000"/>
        </w:rPr>
      </w:pPr>
      <w:r w:rsidRPr="00DF1D2B">
        <w:rPr>
          <w:rFonts w:asciiTheme="majorHAnsi" w:hAnsiTheme="majorHAnsi" w:cstheme="majorHAnsi"/>
          <w:color w:val="000000"/>
        </w:rPr>
        <w:t>Ogłoszenia wyników otwartego konkursu ofert dokonuje Prezydent m.st. Warszawy w drodze zarządzenia, w terminie nie później niż 60 dni kalendarzowych od terminu zakończenia składania ofert, o którym mowa w § 4 ust. 1.</w:t>
      </w:r>
    </w:p>
    <w:p w14:paraId="7DC8EAEF" w14:textId="77777777" w:rsidR="00ED5118" w:rsidRPr="00DF1D2B" w:rsidRDefault="00462524" w:rsidP="00DF1D2B">
      <w:pPr>
        <w:numPr>
          <w:ilvl w:val="0"/>
          <w:numId w:val="1"/>
        </w:numPr>
        <w:pBdr>
          <w:top w:val="nil"/>
          <w:left w:val="nil"/>
          <w:bottom w:val="nil"/>
          <w:right w:val="nil"/>
          <w:between w:val="nil"/>
        </w:pBdr>
        <w:ind w:left="284" w:hanging="284"/>
        <w:rPr>
          <w:rFonts w:asciiTheme="majorHAnsi" w:hAnsiTheme="majorHAnsi" w:cstheme="majorHAnsi"/>
        </w:rPr>
      </w:pPr>
      <w:r w:rsidRPr="00DF1D2B">
        <w:rPr>
          <w:rFonts w:asciiTheme="majorHAnsi" w:hAnsiTheme="majorHAnsi" w:cstheme="majorHAnsi"/>
          <w:color w:val="000000"/>
        </w:rPr>
        <w:t>Wyniki otwartego konkursu ofert zostaną podane do wiadomości publicznej (w Biuletynie Informacji Publicznej m.st. Warszawy, w miejscu przeznaczonym na zamieszczanie ogłoszeń oraz na stronie internetowej um.warszawa.pl/waw/ngo).</w:t>
      </w:r>
    </w:p>
    <w:p w14:paraId="1FE9C2FF" w14:textId="77777777" w:rsidR="00ED5118" w:rsidRPr="00DF1D2B" w:rsidRDefault="00462524" w:rsidP="00DF1D2B">
      <w:pPr>
        <w:ind w:left="284" w:hanging="284"/>
        <w:rPr>
          <w:rFonts w:asciiTheme="majorHAnsi" w:hAnsiTheme="majorHAnsi" w:cstheme="majorHAnsi"/>
        </w:rPr>
      </w:pPr>
      <w:r w:rsidRPr="00DF1D2B">
        <w:rPr>
          <w:rFonts w:asciiTheme="majorHAnsi" w:hAnsiTheme="majorHAnsi" w:cstheme="majorHAnsi"/>
        </w:rPr>
        <w:t xml:space="preserve">§ 7. Informacja o zrealizowanych przez m.st. Warszawę w roku ogłoszenia otwartego konkursu ofert i w roku poprzednim zadaniach publicznych tego samego rodzaju i związanych z nimi kosztami, ze szczególnym uwzględnieniem wysokości dotacji przekazanych organizacjom pozarządowym i </w:t>
      </w:r>
      <w:r w:rsidRPr="00DF1D2B">
        <w:rPr>
          <w:rFonts w:asciiTheme="majorHAnsi" w:hAnsiTheme="majorHAnsi" w:cstheme="majorHAnsi"/>
        </w:rPr>
        <w:lastRenderedPageBreak/>
        <w:t>podmiotom, o których mowa w art. 3 ust. 3 ustawy z dnia 24 kwietnia 2003 roku o działalności pożytku publicznego i o wolontariacie:</w:t>
      </w:r>
    </w:p>
    <w:p w14:paraId="65EA60F7" w14:textId="77777777" w:rsidR="00ED5118" w:rsidRPr="00DF1D2B" w:rsidRDefault="00462524" w:rsidP="00DF1D2B">
      <w:pPr>
        <w:numPr>
          <w:ilvl w:val="0"/>
          <w:numId w:val="1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Rodzaj zadania publicznego: oświata i wychowanie – współpraca z Funduszem UNICEF</w:t>
      </w:r>
    </w:p>
    <w:p w14:paraId="6B96C3A3" w14:textId="77777777" w:rsidR="00ED5118" w:rsidRPr="00DF1D2B" w:rsidRDefault="00462524" w:rsidP="00DF1D2B">
      <w:pPr>
        <w:numPr>
          <w:ilvl w:val="0"/>
          <w:numId w:val="1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 xml:space="preserve">Wysokość dotacji w złotych w </w:t>
      </w:r>
      <w:r w:rsidRPr="00DF1D2B">
        <w:rPr>
          <w:rFonts w:asciiTheme="majorHAnsi" w:hAnsiTheme="majorHAnsi" w:cstheme="majorHAnsi"/>
          <w:b/>
          <w:color w:val="000000"/>
        </w:rPr>
        <w:t>2024 r.: 198 008 zł</w:t>
      </w:r>
    </w:p>
    <w:p w14:paraId="11DC313D" w14:textId="77777777" w:rsidR="00ED5118" w:rsidRPr="00DF1D2B" w:rsidRDefault="00462524" w:rsidP="00DF1D2B">
      <w:pPr>
        <w:numPr>
          <w:ilvl w:val="0"/>
          <w:numId w:val="17"/>
        </w:numPr>
        <w:pBdr>
          <w:top w:val="nil"/>
          <w:left w:val="nil"/>
          <w:bottom w:val="nil"/>
          <w:right w:val="nil"/>
          <w:between w:val="nil"/>
        </w:pBdr>
        <w:spacing w:after="0"/>
        <w:ind w:left="567" w:hanging="283"/>
        <w:rPr>
          <w:rFonts w:asciiTheme="majorHAnsi" w:hAnsiTheme="majorHAnsi" w:cstheme="majorHAnsi"/>
        </w:rPr>
      </w:pPr>
      <w:r w:rsidRPr="00DF1D2B">
        <w:rPr>
          <w:rFonts w:asciiTheme="majorHAnsi" w:hAnsiTheme="majorHAnsi" w:cstheme="majorHAnsi"/>
          <w:color w:val="000000"/>
        </w:rPr>
        <w:t xml:space="preserve">Wysokość dotacji w złotych w </w:t>
      </w:r>
      <w:r w:rsidRPr="00DF1D2B">
        <w:rPr>
          <w:rFonts w:asciiTheme="majorHAnsi" w:hAnsiTheme="majorHAnsi" w:cstheme="majorHAnsi"/>
          <w:b/>
          <w:color w:val="000000"/>
        </w:rPr>
        <w:t>2025 r.: 0 zł</w:t>
      </w:r>
    </w:p>
    <w:p w14:paraId="4DD91CFF" w14:textId="77777777" w:rsidR="00ED5118" w:rsidRPr="00DF1D2B" w:rsidRDefault="00ED5118">
      <w:pPr>
        <w:rPr>
          <w:rFonts w:asciiTheme="majorHAnsi" w:hAnsiTheme="majorHAnsi" w:cstheme="majorHAnsi"/>
        </w:rPr>
      </w:pPr>
      <w:bookmarkStart w:id="1" w:name="_GoBack"/>
      <w:bookmarkEnd w:id="1"/>
    </w:p>
    <w:sectPr w:rsidR="00ED5118" w:rsidRPr="00DF1D2B">
      <w:footerReference w:type="even" r:id="rId7"/>
      <w:footerReference w:type="default" r:id="rId8"/>
      <w:pgSz w:w="11906" w:h="16838"/>
      <w:pgMar w:top="709"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6D226" w14:textId="77777777" w:rsidR="00A50951" w:rsidRDefault="00462524">
      <w:pPr>
        <w:spacing w:after="0" w:line="240" w:lineRule="auto"/>
      </w:pPr>
      <w:r>
        <w:separator/>
      </w:r>
    </w:p>
  </w:endnote>
  <w:endnote w:type="continuationSeparator" w:id="0">
    <w:p w14:paraId="39500249" w14:textId="77777777" w:rsidR="00A50951" w:rsidRDefault="0046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4BAE" w14:textId="77777777" w:rsidR="00ED5118" w:rsidRDefault="00462524">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end"/>
    </w:r>
  </w:p>
  <w:p w14:paraId="05E2FB47" w14:textId="77777777" w:rsidR="00ED5118" w:rsidRDefault="00ED5118">
    <w:pPr>
      <w:pBdr>
        <w:top w:val="nil"/>
        <w:left w:val="nil"/>
        <w:bottom w:val="nil"/>
        <w:right w:val="nil"/>
        <w:between w:val="nil"/>
      </w:pBdr>
      <w:tabs>
        <w:tab w:val="center" w:pos="4536"/>
        <w:tab w:val="right" w:pos="9072"/>
      </w:tabs>
      <w:rPr>
        <w:color w:val="000000"/>
      </w:rPr>
    </w:pPr>
  </w:p>
  <w:p w14:paraId="6FCE7495" w14:textId="77777777" w:rsidR="00ED5118" w:rsidRDefault="00ED51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37007"/>
      <w:docPartObj>
        <w:docPartGallery w:val="Page Numbers (Bottom of Page)"/>
        <w:docPartUnique/>
      </w:docPartObj>
    </w:sdtPr>
    <w:sdtEndPr/>
    <w:sdtContent>
      <w:p w14:paraId="3DC6B841" w14:textId="15D5993C" w:rsidR="00DF1D2B" w:rsidRDefault="00DF1D2B" w:rsidP="00DF1D2B">
        <w:pPr>
          <w:pStyle w:val="Stopka"/>
          <w:jc w:val="center"/>
        </w:pPr>
        <w:r>
          <w:fldChar w:fldCharType="begin"/>
        </w:r>
        <w:r>
          <w:instrText>PAGE   \* MERGEFORMAT</w:instrText>
        </w:r>
        <w:r>
          <w:fldChar w:fldCharType="separate"/>
        </w:r>
        <w:r w:rsidR="00D0344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0E89" w14:textId="77777777" w:rsidR="00A50951" w:rsidRDefault="00462524">
      <w:pPr>
        <w:spacing w:after="0" w:line="240" w:lineRule="auto"/>
      </w:pPr>
      <w:r>
        <w:separator/>
      </w:r>
    </w:p>
  </w:footnote>
  <w:footnote w:type="continuationSeparator" w:id="0">
    <w:p w14:paraId="5AAF9A00" w14:textId="77777777" w:rsidR="00A50951" w:rsidRDefault="00462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2C3"/>
    <w:multiLevelType w:val="multilevel"/>
    <w:tmpl w:val="3D96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E1B35"/>
    <w:multiLevelType w:val="multilevel"/>
    <w:tmpl w:val="FB3CB8F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Letter"/>
      <w:lvlText w:val="%3."/>
      <w:lvlJc w:val="left"/>
      <w:pPr>
        <w:ind w:left="2508" w:hanging="360"/>
      </w:pPr>
    </w:lvl>
    <w:lvl w:ilvl="3">
      <w:start w:val="1"/>
      <w:numFmt w:val="lowerLetter"/>
      <w:lvlText w:val="%4."/>
      <w:lvlJc w:val="left"/>
      <w:pPr>
        <w:ind w:left="3228" w:hanging="360"/>
      </w:pPr>
    </w:lvl>
    <w:lvl w:ilvl="4">
      <w:start w:val="1"/>
      <w:numFmt w:val="lowerLetter"/>
      <w:lvlText w:val="%5."/>
      <w:lvlJc w:val="left"/>
      <w:pPr>
        <w:ind w:left="3948" w:hanging="360"/>
      </w:pPr>
    </w:lvl>
    <w:lvl w:ilvl="5">
      <w:start w:val="1"/>
      <w:numFmt w:val="lowerLetter"/>
      <w:lvlText w:val="%6."/>
      <w:lvlJc w:val="left"/>
      <w:pPr>
        <w:ind w:left="4668" w:hanging="360"/>
      </w:pPr>
    </w:lvl>
    <w:lvl w:ilvl="6">
      <w:start w:val="1"/>
      <w:numFmt w:val="lowerLetter"/>
      <w:lvlText w:val="%7."/>
      <w:lvlJc w:val="left"/>
      <w:pPr>
        <w:ind w:left="5388" w:hanging="360"/>
      </w:pPr>
    </w:lvl>
    <w:lvl w:ilvl="7">
      <w:start w:val="1"/>
      <w:numFmt w:val="lowerLetter"/>
      <w:lvlText w:val="%8."/>
      <w:lvlJc w:val="left"/>
      <w:pPr>
        <w:ind w:left="6108" w:hanging="360"/>
      </w:pPr>
    </w:lvl>
    <w:lvl w:ilvl="8">
      <w:start w:val="1"/>
      <w:numFmt w:val="lowerLetter"/>
      <w:lvlText w:val="%9."/>
      <w:lvlJc w:val="left"/>
      <w:pPr>
        <w:ind w:left="6828" w:hanging="360"/>
      </w:pPr>
    </w:lvl>
  </w:abstractNum>
  <w:abstractNum w:abstractNumId="2" w15:restartNumberingAfterBreak="0">
    <w:nsid w:val="06EC47D5"/>
    <w:multiLevelType w:val="multilevel"/>
    <w:tmpl w:val="08DEB134"/>
    <w:lvl w:ilvl="0">
      <w:start w:val="1"/>
      <w:numFmt w:val="decimal"/>
      <w:lvlText w:val="%1)"/>
      <w:lvlJc w:val="left"/>
      <w:pPr>
        <w:ind w:left="700" w:hanging="360"/>
      </w:pPr>
      <w:rPr>
        <w:b w:val="0"/>
        <w:i w:val="0"/>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 w15:restartNumberingAfterBreak="0">
    <w:nsid w:val="0EA7415D"/>
    <w:multiLevelType w:val="multilevel"/>
    <w:tmpl w:val="8BE6A1B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ACB1074"/>
    <w:multiLevelType w:val="multilevel"/>
    <w:tmpl w:val="DD742C26"/>
    <w:lvl w:ilvl="0">
      <w:start w:val="1"/>
      <w:numFmt w:val="decimal"/>
      <w:lvlText w:val="%1."/>
      <w:lvlJc w:val="left"/>
      <w:pPr>
        <w:ind w:left="340" w:hanging="340"/>
      </w:pPr>
      <w:rPr>
        <w:rFonts w:ascii="Calibri" w:eastAsia="Calibri" w:hAnsi="Calibri" w:cs="Calibri"/>
        <w:b w:val="0"/>
        <w:i w:val="0"/>
        <w:sz w:val="22"/>
        <w:szCs w:val="22"/>
      </w:rPr>
    </w:lvl>
    <w:lvl w:ilvl="1">
      <w:start w:val="1"/>
      <w:numFmt w:val="lowerLetter"/>
      <w:lvlText w:val="%2."/>
      <w:lvlJc w:val="left"/>
      <w:pPr>
        <w:ind w:left="644" w:hanging="359"/>
      </w:pPr>
      <w:rPr>
        <w:b w:val="0"/>
        <w:sz w:val="24"/>
        <w:szCs w:val="24"/>
      </w:rPr>
    </w:lvl>
    <w:lvl w:ilvl="2">
      <w:start w:val="1"/>
      <w:numFmt w:val="lowerLetter"/>
      <w:lvlText w:val="%3."/>
      <w:lvlJc w:val="left"/>
      <w:pPr>
        <w:ind w:left="644" w:hanging="359"/>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17308"/>
    <w:multiLevelType w:val="multilevel"/>
    <w:tmpl w:val="B66E3B2C"/>
    <w:lvl w:ilvl="0">
      <w:start w:val="1"/>
      <w:numFmt w:val="decimal"/>
      <w:lvlText w:val="%1)"/>
      <w:lvlJc w:val="left"/>
      <w:pPr>
        <w:ind w:left="700" w:hanging="360"/>
      </w:pPr>
      <w:rPr>
        <w:b w:val="0"/>
        <w:i w:val="0"/>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 w15:restartNumberingAfterBreak="0">
    <w:nsid w:val="22B951E6"/>
    <w:multiLevelType w:val="multilevel"/>
    <w:tmpl w:val="69569434"/>
    <w:lvl w:ilvl="0">
      <w:start w:val="1"/>
      <w:numFmt w:val="decimal"/>
      <w:lvlText w:val="%1."/>
      <w:lvlJc w:val="left"/>
      <w:pPr>
        <w:ind w:left="340" w:hanging="340"/>
      </w:pPr>
      <w:rPr>
        <w:rFonts w:ascii="Calibri" w:eastAsia="Calibri" w:hAnsi="Calibri" w:cs="Calibri"/>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BB10CD"/>
    <w:multiLevelType w:val="multilevel"/>
    <w:tmpl w:val="550C2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3203487"/>
    <w:multiLevelType w:val="multilevel"/>
    <w:tmpl w:val="D43ED1AC"/>
    <w:lvl w:ilvl="0">
      <w:start w:val="1"/>
      <w:numFmt w:val="decimal"/>
      <w:lvlText w:val="%1)"/>
      <w:lvlJc w:val="left"/>
      <w:pPr>
        <w:ind w:left="72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2EFD521E"/>
    <w:multiLevelType w:val="multilevel"/>
    <w:tmpl w:val="23668146"/>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F63F46"/>
    <w:multiLevelType w:val="multilevel"/>
    <w:tmpl w:val="69485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E32166"/>
    <w:multiLevelType w:val="multilevel"/>
    <w:tmpl w:val="E850C92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3E3F4371"/>
    <w:multiLevelType w:val="multilevel"/>
    <w:tmpl w:val="286E88A8"/>
    <w:lvl w:ilvl="0">
      <w:start w:val="1"/>
      <w:numFmt w:val="decimal"/>
      <w:lvlText w:val="%1)"/>
      <w:lvlJc w:val="left"/>
      <w:pPr>
        <w:ind w:left="700" w:hanging="360"/>
      </w:pPr>
      <w:rPr>
        <w:b w:val="0"/>
        <w:i w:val="0"/>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lowerLetter"/>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3" w15:restartNumberingAfterBreak="0">
    <w:nsid w:val="551E3078"/>
    <w:multiLevelType w:val="multilevel"/>
    <w:tmpl w:val="524CBFA8"/>
    <w:lvl w:ilvl="0">
      <w:start w:val="1"/>
      <w:numFmt w:val="decimal"/>
      <w:lvlText w:val="%1."/>
      <w:lvlJc w:val="left"/>
      <w:pPr>
        <w:ind w:left="340" w:hanging="340"/>
      </w:pPr>
      <w:rPr>
        <w:rFonts w:ascii="Calibri" w:eastAsia="Calibri" w:hAnsi="Calibri" w:cs="Calibri"/>
        <w:sz w:val="22"/>
        <w:szCs w:val="22"/>
      </w:rPr>
    </w:lvl>
    <w:lvl w:ilvl="1">
      <w:start w:val="1"/>
      <w:numFmt w:val="decimal"/>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D0F10"/>
    <w:multiLevelType w:val="multilevel"/>
    <w:tmpl w:val="04B4BB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7FB0698"/>
    <w:multiLevelType w:val="multilevel"/>
    <w:tmpl w:val="5F827C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BBC6325"/>
    <w:multiLevelType w:val="multilevel"/>
    <w:tmpl w:val="A89CE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296847"/>
    <w:multiLevelType w:val="multilevel"/>
    <w:tmpl w:val="9488B1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ABC5D52"/>
    <w:multiLevelType w:val="multilevel"/>
    <w:tmpl w:val="DDB873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CFF1B2B"/>
    <w:multiLevelType w:val="multilevel"/>
    <w:tmpl w:val="CE54E8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AF270A"/>
    <w:multiLevelType w:val="multilevel"/>
    <w:tmpl w:val="B8D413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20"/>
  </w:num>
  <w:num w:numId="3">
    <w:abstractNumId w:val="1"/>
  </w:num>
  <w:num w:numId="4">
    <w:abstractNumId w:val="14"/>
  </w:num>
  <w:num w:numId="5">
    <w:abstractNumId w:val="17"/>
  </w:num>
  <w:num w:numId="6">
    <w:abstractNumId w:val="11"/>
  </w:num>
  <w:num w:numId="7">
    <w:abstractNumId w:val="2"/>
  </w:num>
  <w:num w:numId="8">
    <w:abstractNumId w:val="15"/>
  </w:num>
  <w:num w:numId="9">
    <w:abstractNumId w:val="8"/>
  </w:num>
  <w:num w:numId="10">
    <w:abstractNumId w:val="9"/>
  </w:num>
  <w:num w:numId="11">
    <w:abstractNumId w:val="18"/>
  </w:num>
  <w:num w:numId="12">
    <w:abstractNumId w:val="10"/>
  </w:num>
  <w:num w:numId="13">
    <w:abstractNumId w:val="16"/>
  </w:num>
  <w:num w:numId="14">
    <w:abstractNumId w:val="19"/>
  </w:num>
  <w:num w:numId="15">
    <w:abstractNumId w:val="13"/>
  </w:num>
  <w:num w:numId="16">
    <w:abstractNumId w:val="4"/>
  </w:num>
  <w:num w:numId="17">
    <w:abstractNumId w:val="0"/>
  </w:num>
  <w:num w:numId="18">
    <w:abstractNumId w:val="5"/>
  </w:num>
  <w:num w:numId="19">
    <w:abstractNumId w:val="1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18"/>
    <w:rsid w:val="00070056"/>
    <w:rsid w:val="00090C19"/>
    <w:rsid w:val="000C6742"/>
    <w:rsid w:val="003F7251"/>
    <w:rsid w:val="00462524"/>
    <w:rsid w:val="004904F6"/>
    <w:rsid w:val="004E60A5"/>
    <w:rsid w:val="005318E7"/>
    <w:rsid w:val="006957BE"/>
    <w:rsid w:val="006E76D3"/>
    <w:rsid w:val="00757335"/>
    <w:rsid w:val="008C6AE0"/>
    <w:rsid w:val="009C741F"/>
    <w:rsid w:val="009D1FA9"/>
    <w:rsid w:val="00A23FD9"/>
    <w:rsid w:val="00A50951"/>
    <w:rsid w:val="00A720E2"/>
    <w:rsid w:val="00AE3588"/>
    <w:rsid w:val="00B25B9B"/>
    <w:rsid w:val="00D0344D"/>
    <w:rsid w:val="00D23FAC"/>
    <w:rsid w:val="00D80A49"/>
    <w:rsid w:val="00DA1CE4"/>
    <w:rsid w:val="00DF1D2B"/>
    <w:rsid w:val="00E157E7"/>
    <w:rsid w:val="00EB0C0E"/>
    <w:rsid w:val="00ED5118"/>
    <w:rsid w:val="00F077CD"/>
    <w:rsid w:val="00F3190D"/>
    <w:rsid w:val="00F3482C"/>
    <w:rsid w:val="00F56CBA"/>
    <w:rsid w:val="00FA5972"/>
    <w:rsid w:val="00FF4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C495"/>
  <w15:docId w15:val="{08B784FE-4DB1-451E-8F5B-AA4DE6FE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4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jc w:val="center"/>
      <w:outlineLvl w:val="0"/>
    </w:pPr>
    <w:rPr>
      <w:b/>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kstdymka">
    <w:name w:val="Balloon Text"/>
    <w:basedOn w:val="Normalny"/>
    <w:link w:val="TekstdymkaZnak"/>
    <w:uiPriority w:val="99"/>
    <w:semiHidden/>
    <w:unhideWhenUsed/>
    <w:rsid w:val="008C6A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0"/>
    <w:rPr>
      <w:rFonts w:ascii="Segoe UI" w:hAnsi="Segoe UI" w:cs="Segoe UI"/>
      <w:sz w:val="18"/>
      <w:szCs w:val="18"/>
    </w:rPr>
  </w:style>
  <w:style w:type="paragraph" w:styleId="Akapitzlist">
    <w:name w:val="List Paragraph"/>
    <w:basedOn w:val="Normalny"/>
    <w:uiPriority w:val="99"/>
    <w:qFormat/>
    <w:rsid w:val="00F077CD"/>
    <w:pPr>
      <w:ind w:left="720"/>
      <w:contextualSpacing/>
    </w:pPr>
    <w:rPr>
      <w:rFonts w:eastAsia="Times New Roman" w:cstheme="minorHAnsi"/>
      <w:lang w:eastAsia="en-US"/>
    </w:rPr>
  </w:style>
  <w:style w:type="paragraph" w:styleId="Nagwek">
    <w:name w:val="header"/>
    <w:basedOn w:val="Normalny"/>
    <w:link w:val="NagwekZnak"/>
    <w:uiPriority w:val="99"/>
    <w:unhideWhenUsed/>
    <w:rsid w:val="00DF1D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1D2B"/>
  </w:style>
  <w:style w:type="paragraph" w:styleId="Stopka">
    <w:name w:val="footer"/>
    <w:basedOn w:val="Normalny"/>
    <w:link w:val="StopkaZnak"/>
    <w:uiPriority w:val="99"/>
    <w:unhideWhenUsed/>
    <w:rsid w:val="00DF1D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2593</Words>
  <Characters>15560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Kamilka</dc:creator>
  <cp:lastModifiedBy>Tylkowska-Majcher Kamila (BE)</cp:lastModifiedBy>
  <cp:revision>2</cp:revision>
  <cp:lastPrinted>2025-06-20T10:03:00Z</cp:lastPrinted>
  <dcterms:created xsi:type="dcterms:W3CDTF">2025-06-26T07:53:00Z</dcterms:created>
  <dcterms:modified xsi:type="dcterms:W3CDTF">2025-06-26T07:53:00Z</dcterms:modified>
</cp:coreProperties>
</file>