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530E" w14:textId="7FB7074B" w:rsidR="00E74EA0" w:rsidRPr="00C15C0F" w:rsidRDefault="00BF2EEC" w:rsidP="00C15C0F">
      <w:pPr>
        <w:spacing w:after="0"/>
        <w:ind w:left="5103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Załącznik do zarządzenia nr </w:t>
      </w:r>
      <w:r w:rsidR="0052739F">
        <w:rPr>
          <w:rFonts w:asciiTheme="minorHAnsi" w:hAnsiTheme="minorHAnsi"/>
        </w:rPr>
        <w:t>1060</w:t>
      </w:r>
      <w:r w:rsidRPr="00C15C0F">
        <w:rPr>
          <w:rFonts w:asciiTheme="minorHAnsi" w:hAnsiTheme="minorHAnsi"/>
        </w:rPr>
        <w:t>/2025</w:t>
      </w:r>
    </w:p>
    <w:p w14:paraId="1BAE0732" w14:textId="4EBCE3B1" w:rsidR="00E74EA0" w:rsidRPr="00C15C0F" w:rsidRDefault="00C15C0F" w:rsidP="00C15C0F">
      <w:pPr>
        <w:spacing w:after="0"/>
        <w:ind w:left="5103"/>
        <w:rPr>
          <w:rFonts w:asciiTheme="minorHAnsi" w:hAnsiTheme="minorHAnsi"/>
        </w:rPr>
      </w:pPr>
      <w:r>
        <w:rPr>
          <w:rFonts w:asciiTheme="minorHAnsi" w:hAnsiTheme="minorHAnsi"/>
        </w:rPr>
        <w:t>Prezydenta m.st. Warszawy</w:t>
      </w:r>
    </w:p>
    <w:p w14:paraId="7E56CB19" w14:textId="345599CD" w:rsidR="00E74EA0" w:rsidRPr="00C15C0F" w:rsidRDefault="0052739F" w:rsidP="00C15C0F">
      <w:pPr>
        <w:ind w:left="510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11 lipca </w:t>
      </w:r>
      <w:r w:rsidR="00BF2EEC" w:rsidRPr="00C15C0F">
        <w:rPr>
          <w:rFonts w:asciiTheme="minorHAnsi" w:hAnsiTheme="minorHAnsi"/>
        </w:rPr>
        <w:t>2025 r.</w:t>
      </w:r>
    </w:p>
    <w:p w14:paraId="62BA784A" w14:textId="77777777" w:rsidR="00E74EA0" w:rsidRPr="00C15C0F" w:rsidRDefault="00BF2EEC" w:rsidP="00C15C0F">
      <w:pPr>
        <w:pStyle w:val="Nagwek1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Ogłoszenie</w:t>
      </w:r>
    </w:p>
    <w:p w14:paraId="26A5929D" w14:textId="77777777" w:rsidR="00E74EA0" w:rsidRPr="00C15C0F" w:rsidRDefault="00BF2EEC" w:rsidP="00C15C0F">
      <w:pPr>
        <w:rPr>
          <w:rFonts w:asciiTheme="minorHAnsi" w:eastAsia="Arial" w:hAnsiTheme="minorHAnsi"/>
        </w:rPr>
      </w:pPr>
      <w:r w:rsidRPr="00C15C0F">
        <w:rPr>
          <w:rFonts w:eastAsia="Arial"/>
        </w:rPr>
        <w:t xml:space="preserve">Prezydent m.st. Warszawy ogłasza otwarty konkurs ofert na realizację w roku 2025 zadania publicznego w zakresie przeciwdziałania uzależnieniom i patologiom społecznym w m.st. Warszawie oraz zaprasza do składania ofert do składania ofert. </w:t>
      </w:r>
      <w:bookmarkStart w:id="0" w:name="_Hlk51854672"/>
      <w:bookmarkEnd w:id="0"/>
    </w:p>
    <w:p w14:paraId="38F661CF" w14:textId="77777777" w:rsidR="00E74EA0" w:rsidRPr="00C15C0F" w:rsidRDefault="00BF2EEC" w:rsidP="00C15C0F">
      <w:pPr>
        <w:rPr>
          <w:rFonts w:asciiTheme="minorHAnsi" w:hAnsiTheme="minorHAnsi"/>
        </w:rPr>
      </w:pPr>
      <w:r w:rsidRPr="00C15C0F">
        <w:rPr>
          <w:rFonts w:asciiTheme="minorHAnsi" w:hAnsiTheme="minorHAnsi"/>
        </w:rPr>
        <w:t>§ 1. Rodzaj zadania i wysokość środków publicznych przeznaczonych na realizację zadania.</w:t>
      </w:r>
    </w:p>
    <w:p w14:paraId="5F1314B2" w14:textId="77777777" w:rsidR="00E74EA0" w:rsidRPr="00C15C0F" w:rsidRDefault="00BF2EEC" w:rsidP="00C15C0F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Zlecenie realizacji zadania publicznego nastąpi w formie wspierania lub powierzania wraz z udzieleniem dotacji.</w:t>
      </w:r>
    </w:p>
    <w:p w14:paraId="7A0DC9FA" w14:textId="77777777" w:rsidR="00E74EA0" w:rsidRPr="00C15C0F" w:rsidRDefault="00BF2EEC" w:rsidP="00C15C0F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Szczegółowe informacje dotyczące zadania zawiera poniższy formularz.</w:t>
      </w:r>
    </w:p>
    <w:p w14:paraId="7E0A6970" w14:textId="77777777" w:rsidR="00E74EA0" w:rsidRPr="00C15C0F" w:rsidRDefault="00BF2EEC" w:rsidP="00C15C0F">
      <w:pPr>
        <w:pStyle w:val="Akapitzlist"/>
        <w:spacing w:before="240"/>
        <w:ind w:left="284"/>
        <w:rPr>
          <w:rFonts w:asciiTheme="minorHAnsi" w:hAnsiTheme="minorHAnsi"/>
          <w:b/>
          <w:bCs/>
        </w:rPr>
      </w:pPr>
      <w:r w:rsidRPr="00C15C0F">
        <w:rPr>
          <w:rFonts w:asciiTheme="minorHAnsi" w:hAnsiTheme="minorHAnsi"/>
          <w:b/>
          <w:bCs/>
        </w:rPr>
        <w:t>Informacje o zadaniu:</w:t>
      </w:r>
    </w:p>
    <w:p w14:paraId="707BE3FF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  <w:b/>
          <w:bCs/>
        </w:rPr>
      </w:pPr>
      <w:r w:rsidRPr="00C15C0F">
        <w:rPr>
          <w:rFonts w:asciiTheme="minorHAnsi" w:hAnsiTheme="minorHAnsi"/>
        </w:rPr>
        <w:t>1.</w:t>
      </w:r>
      <w:r w:rsidRPr="00C15C0F">
        <w:rPr>
          <w:rFonts w:asciiTheme="minorHAnsi" w:hAnsiTheme="minorHAnsi"/>
        </w:rPr>
        <w:tab/>
        <w:t>Nazwa zadania konkursowego:</w:t>
      </w:r>
      <w:r w:rsidRPr="00C15C0F">
        <w:rPr>
          <w:rFonts w:asciiTheme="minorHAnsi" w:hAnsiTheme="minorHAnsi"/>
          <w:b/>
          <w:bCs/>
        </w:rPr>
        <w:t xml:space="preserve"> </w:t>
      </w:r>
      <w:r w:rsidRPr="00C15C0F">
        <w:rPr>
          <w:rFonts w:cs="Calibri"/>
          <w:b/>
          <w:bCs/>
        </w:rPr>
        <w:t>Poprawa</w:t>
      </w:r>
      <w:r w:rsidRPr="00C15C0F">
        <w:rPr>
          <w:rFonts w:asciiTheme="minorHAnsi" w:hAnsiTheme="minorHAnsi"/>
          <w:b/>
          <w:bCs/>
        </w:rPr>
        <w:t xml:space="preserve"> warunków lokalowych i doposażenia placów</w:t>
      </w:r>
      <w:r w:rsidRPr="00C15C0F">
        <w:rPr>
          <w:rFonts w:cs="Calibri"/>
          <w:b/>
          <w:bCs/>
        </w:rPr>
        <w:t xml:space="preserve">ek </w:t>
      </w:r>
      <w:r w:rsidRPr="00C15C0F">
        <w:rPr>
          <w:rFonts w:asciiTheme="minorHAnsi" w:hAnsiTheme="minorHAnsi"/>
          <w:b/>
          <w:bCs/>
        </w:rPr>
        <w:t xml:space="preserve">wsparcia dziennego i </w:t>
      </w:r>
      <w:r w:rsidRPr="00C15C0F">
        <w:rPr>
          <w:rFonts w:cs="Calibri"/>
          <w:b/>
          <w:bCs/>
        </w:rPr>
        <w:t>działań realizowanych w ramach</w:t>
      </w:r>
      <w:r w:rsidRPr="00C15C0F">
        <w:rPr>
          <w:rFonts w:asciiTheme="minorHAnsi" w:hAnsiTheme="minorHAnsi"/>
          <w:b/>
          <w:bCs/>
        </w:rPr>
        <w:t xml:space="preserve"> Programu profilaktyki i rozwiązywania problemów alkoholowych oraz przeciwdziałania narkomanii m.st. Warszawy na lata 2022-2025</w:t>
      </w:r>
    </w:p>
    <w:p w14:paraId="5BE6A6A5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2.</w:t>
      </w:r>
      <w:r w:rsidRPr="00C15C0F">
        <w:rPr>
          <w:rFonts w:asciiTheme="minorHAnsi" w:hAnsiTheme="minorHAnsi"/>
        </w:rPr>
        <w:tab/>
        <w:t>Forma realizacji zadania: powierzenie lub wsparcie</w:t>
      </w:r>
    </w:p>
    <w:p w14:paraId="3A93EF45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  <w:bCs/>
        </w:rPr>
      </w:pPr>
      <w:r w:rsidRPr="00C15C0F">
        <w:rPr>
          <w:rFonts w:asciiTheme="minorHAnsi" w:hAnsiTheme="minorHAnsi"/>
        </w:rPr>
        <w:t>3.</w:t>
      </w:r>
      <w:r w:rsidRPr="00C15C0F">
        <w:rPr>
          <w:rFonts w:asciiTheme="minorHAnsi" w:hAnsiTheme="minorHAnsi"/>
        </w:rPr>
        <w:tab/>
        <w:t xml:space="preserve">Cel zadania: </w:t>
      </w:r>
      <w:r w:rsidRPr="00C15C0F">
        <w:rPr>
          <w:rFonts w:asciiTheme="minorHAnsi" w:hAnsiTheme="minorHAnsi"/>
          <w:bCs/>
        </w:rPr>
        <w:t>podniesienie jakości usług świadczonych przez niepubliczne placówki wsparcia dziennego oraz inne podmioty realizujące zadania z zakresu profilaktyki uzależnień</w:t>
      </w:r>
      <w:r w:rsidR="00897796" w:rsidRPr="00C15C0F">
        <w:rPr>
          <w:rFonts w:asciiTheme="minorHAnsi" w:hAnsiTheme="minorHAnsi"/>
          <w:bCs/>
        </w:rPr>
        <w:t xml:space="preserve"> </w:t>
      </w:r>
      <w:r w:rsidRPr="00C15C0F">
        <w:rPr>
          <w:rFonts w:asciiTheme="minorHAnsi" w:hAnsiTheme="minorHAnsi"/>
          <w:bCs/>
        </w:rPr>
        <w:t>w m.st. Warszawie – poprzez doposażenie i drobne prace remontowe poprawiające warunki realizacji zadań zleconych przez m.st. Warszawę.</w:t>
      </w:r>
    </w:p>
    <w:p w14:paraId="584EF00C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4.</w:t>
      </w:r>
      <w:r w:rsidRPr="00C15C0F">
        <w:rPr>
          <w:rFonts w:asciiTheme="minorHAnsi" w:hAnsiTheme="minorHAnsi"/>
        </w:rPr>
        <w:tab/>
        <w:t>Opis zadania:</w:t>
      </w:r>
    </w:p>
    <w:p w14:paraId="675BEF39" w14:textId="77777777" w:rsidR="00E74EA0" w:rsidRPr="00C15C0F" w:rsidRDefault="00BF2EEC" w:rsidP="00C15C0F">
      <w:pPr>
        <w:spacing w:after="0"/>
        <w:ind w:left="567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Konkurs jest skierowany do podmiotów niepublicznych, które na dzień składania oferty:</w:t>
      </w:r>
    </w:p>
    <w:p w14:paraId="4CF54901" w14:textId="77777777" w:rsidR="00E74EA0" w:rsidRPr="00C15C0F" w:rsidRDefault="00BF2EEC" w:rsidP="00C15C0F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</w:rPr>
      </w:pPr>
      <w:r w:rsidRPr="00C15C0F">
        <w:rPr>
          <w:rFonts w:asciiTheme="minorHAnsi" w:hAnsiTheme="minorHAnsi"/>
          <w:bCs/>
        </w:rPr>
        <w:t xml:space="preserve">prowadzą placówki wsparcia dziennego na podstawie wydanego zezwolenia Prezydenta m.st. Warszawy, </w:t>
      </w:r>
    </w:p>
    <w:p w14:paraId="78FE8965" w14:textId="77777777" w:rsidR="00E74EA0" w:rsidRPr="00C15C0F" w:rsidRDefault="00BF2EEC" w:rsidP="00C15C0F">
      <w:pPr>
        <w:pStyle w:val="Akapitzlist"/>
        <w:spacing w:before="240"/>
        <w:ind w:left="851" w:hanging="284"/>
        <w:rPr>
          <w:rFonts w:asciiTheme="minorHAnsi" w:hAnsiTheme="minorHAnsi"/>
          <w:b/>
          <w:bCs/>
        </w:rPr>
      </w:pPr>
      <w:r w:rsidRPr="00C15C0F">
        <w:rPr>
          <w:rFonts w:asciiTheme="minorHAnsi" w:hAnsiTheme="minorHAnsi"/>
          <w:b/>
          <w:bCs/>
        </w:rPr>
        <w:t>lub/i</w:t>
      </w:r>
    </w:p>
    <w:p w14:paraId="57E9E652" w14:textId="77777777" w:rsidR="00E74EA0" w:rsidRPr="00C15C0F" w:rsidRDefault="00BF2EEC" w:rsidP="00C15C0F">
      <w:pPr>
        <w:pStyle w:val="Akapitzlist"/>
        <w:numPr>
          <w:ilvl w:val="0"/>
          <w:numId w:val="16"/>
        </w:numPr>
        <w:tabs>
          <w:tab w:val="clear" w:pos="0"/>
        </w:tabs>
        <w:ind w:left="851" w:hanging="284"/>
        <w:contextualSpacing w:val="0"/>
        <w:rPr>
          <w:rFonts w:asciiTheme="minorHAnsi" w:hAnsiTheme="minorHAnsi"/>
          <w:bCs/>
        </w:rPr>
      </w:pPr>
      <w:r w:rsidRPr="00C15C0F">
        <w:rPr>
          <w:rFonts w:asciiTheme="minorHAnsi" w:hAnsiTheme="minorHAnsi"/>
          <w:bCs/>
        </w:rPr>
        <w:t>prowadzą działania określone w Programie profilaktyki i rozwiązywania problemów alkoholowych oraz przeciwdziałania narkomanii m.st. Warszawy na lata 2022-2025 (dalej Program), finansowane ze środków pochodzących z opłat za zezwolenia na sprzedaż napojów alkoholowych.</w:t>
      </w:r>
    </w:p>
    <w:p w14:paraId="4335B0BB" w14:textId="77777777" w:rsidR="00E74EA0" w:rsidRPr="00C15C0F" w:rsidRDefault="00BF2EEC" w:rsidP="00C15C0F">
      <w:pPr>
        <w:spacing w:after="0"/>
        <w:ind w:left="567"/>
        <w:rPr>
          <w:rFonts w:asciiTheme="minorHAnsi" w:hAnsiTheme="minorHAnsi"/>
          <w:b/>
          <w:bCs/>
          <w:lang w:eastAsia="en-US"/>
        </w:rPr>
      </w:pPr>
      <w:r w:rsidRPr="00C15C0F">
        <w:rPr>
          <w:rFonts w:asciiTheme="minorHAnsi" w:hAnsiTheme="minorHAnsi"/>
          <w:b/>
          <w:bCs/>
          <w:lang w:eastAsia="en-US"/>
        </w:rPr>
        <w:t>Podmioty niepubliczne realizując powyższe zadanie powinny osiągnąć:</w:t>
      </w:r>
    </w:p>
    <w:p w14:paraId="7DC9C0B5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podniesienie jakości oferowanych usług realizowanych w ramach Programu;</w:t>
      </w:r>
    </w:p>
    <w:p w14:paraId="3FF2EA99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poprawę warunków prowadzonych działań realizowanych w ramach Programu poprzez:</w:t>
      </w:r>
    </w:p>
    <w:p w14:paraId="651EB962" w14:textId="77777777" w:rsidR="00E74EA0" w:rsidRPr="00C15C0F" w:rsidRDefault="00BF2EEC" w:rsidP="00C15C0F">
      <w:pPr>
        <w:numPr>
          <w:ilvl w:val="0"/>
          <w:numId w:val="15"/>
        </w:numPr>
        <w:tabs>
          <w:tab w:val="clear" w:pos="0"/>
        </w:tabs>
        <w:spacing w:after="0"/>
        <w:ind w:left="1134" w:hanging="283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doposażenie w sprzęt i wyposażenie niezbędne do wzbogacenia oferty programowej;</w:t>
      </w:r>
    </w:p>
    <w:p w14:paraId="4C1EFB75" w14:textId="3E260043" w:rsidR="0030483E" w:rsidRPr="00C15C0F" w:rsidRDefault="00BF2EEC" w:rsidP="00C15C0F">
      <w:pPr>
        <w:numPr>
          <w:ilvl w:val="0"/>
          <w:numId w:val="15"/>
        </w:numPr>
        <w:tabs>
          <w:tab w:val="clear" w:pos="0"/>
        </w:tabs>
        <w:spacing w:after="0"/>
        <w:ind w:left="1134" w:hanging="283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lastRenderedPageBreak/>
        <w:t xml:space="preserve">doposażenie w sprzęt niezbędny do </w:t>
      </w:r>
      <w:r w:rsidR="00DE2A4B" w:rsidRPr="00C15C0F">
        <w:t>przystąpienia</w:t>
      </w:r>
      <w:r w:rsidRPr="00C15C0F">
        <w:t xml:space="preserve"> do korzystania z</w:t>
      </w:r>
      <w:r w:rsidR="00456390" w:rsidRPr="00C15C0F">
        <w:rPr>
          <w:rFonts w:asciiTheme="minorHAnsi" w:hAnsiTheme="minorHAnsi"/>
          <w:bCs/>
          <w:lang w:eastAsia="en-US"/>
        </w:rPr>
        <w:t xml:space="preserve"> Bazy Monitorującej</w:t>
      </w:r>
      <w:r w:rsidR="00456390" w:rsidRPr="00C15C0F">
        <w:rPr>
          <w:rStyle w:val="Odwoanieprzypisudolnego"/>
          <w:rFonts w:asciiTheme="minorHAnsi" w:hAnsiTheme="minorHAnsi"/>
          <w:bCs/>
          <w:lang w:eastAsia="en-US"/>
        </w:rPr>
        <w:footnoteReference w:id="1"/>
      </w:r>
      <w:r w:rsidR="00DE2A4B" w:rsidRPr="00C15C0F">
        <w:rPr>
          <w:rFonts w:asciiTheme="minorHAnsi" w:hAnsiTheme="minorHAnsi"/>
          <w:bCs/>
          <w:lang w:eastAsia="en-US"/>
        </w:rPr>
        <w:t>-</w:t>
      </w:r>
      <w:r w:rsidRPr="00C15C0F">
        <w:rPr>
          <w:rFonts w:asciiTheme="minorHAnsi" w:hAnsiTheme="minorHAnsi"/>
          <w:lang w:eastAsia="en-US"/>
        </w:rPr>
        <w:t xml:space="preserve">systemu </w:t>
      </w:r>
      <w:r w:rsidRPr="00C15C0F">
        <w:rPr>
          <w:rFonts w:cs="Calibri"/>
          <w:lang w:eastAsia="en-US"/>
        </w:rPr>
        <w:t>informatycznego do dokumentowania pracy</w:t>
      </w:r>
      <w:r w:rsidRPr="00C15C0F">
        <w:rPr>
          <w:rFonts w:asciiTheme="minorHAnsi" w:hAnsiTheme="minorHAnsi"/>
          <w:lang w:eastAsia="en-US"/>
        </w:rPr>
        <w:t xml:space="preserve"> placówek wsparcia dziennego oraz projektów realizowanych w ramach Lokalnych systemów wsparcia</w:t>
      </w:r>
      <w:r w:rsidR="00456390" w:rsidRPr="00C15C0F">
        <w:rPr>
          <w:rFonts w:asciiTheme="minorHAnsi" w:hAnsiTheme="minorHAnsi"/>
          <w:lang w:eastAsia="en-US"/>
        </w:rPr>
        <w:t>;</w:t>
      </w:r>
    </w:p>
    <w:p w14:paraId="2A6CEA12" w14:textId="77777777" w:rsidR="00E74EA0" w:rsidRPr="00C15C0F" w:rsidRDefault="00BF2EEC" w:rsidP="00C15C0F">
      <w:pPr>
        <w:numPr>
          <w:ilvl w:val="0"/>
          <w:numId w:val="15"/>
        </w:numPr>
        <w:tabs>
          <w:tab w:val="clear" w:pos="0"/>
        </w:tabs>
        <w:spacing w:after="0"/>
        <w:ind w:left="1134" w:hanging="283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przeprowadzenie drobnych prac remontowych zwiększających bezpieczeństwo i komf</w:t>
      </w:r>
      <w:r w:rsidR="009E4952" w:rsidRPr="00C15C0F">
        <w:rPr>
          <w:rFonts w:asciiTheme="minorHAnsi" w:hAnsiTheme="minorHAnsi"/>
          <w:bCs/>
          <w:lang w:eastAsia="en-US"/>
        </w:rPr>
        <w:t>ort odbiorców oraz realizatorów</w:t>
      </w:r>
      <w:r w:rsidRPr="00C15C0F">
        <w:rPr>
          <w:rFonts w:asciiTheme="minorHAnsi" w:hAnsiTheme="minorHAnsi"/>
          <w:bCs/>
          <w:lang w:eastAsia="en-US"/>
        </w:rPr>
        <w:t xml:space="preserve"> </w:t>
      </w:r>
      <w:r w:rsidRPr="00C15C0F">
        <w:rPr>
          <w:rFonts w:cs="Calibri"/>
          <w:bCs/>
          <w:lang w:eastAsia="en-US"/>
        </w:rPr>
        <w:t>działań prowadzonych w ramach Programu</w:t>
      </w:r>
      <w:r w:rsidRPr="00C15C0F">
        <w:rPr>
          <w:rFonts w:asciiTheme="minorHAnsi" w:hAnsiTheme="minorHAnsi"/>
          <w:bCs/>
          <w:lang w:eastAsia="en-US"/>
        </w:rPr>
        <w:t>;</w:t>
      </w:r>
    </w:p>
    <w:p w14:paraId="2F5C7F52" w14:textId="1AD1820D" w:rsidR="00E74EA0" w:rsidRPr="00C15C0F" w:rsidRDefault="00BF2EEC" w:rsidP="00C15C0F">
      <w:pPr>
        <w:numPr>
          <w:ilvl w:val="0"/>
          <w:numId w:val="15"/>
        </w:numPr>
        <w:tabs>
          <w:tab w:val="clear" w:pos="0"/>
        </w:tabs>
        <w:spacing w:after="0"/>
        <w:ind w:left="1134" w:hanging="283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podniesienie dostępności miejsc, w których świadczone są usługi w ramach zadania publicznego dla osób ze szczególnymi potrzebami zgodnie z zapisami art. 6 ustawy z dnia 19 lipca 2019 r. o zapewnianiu dostępności oso</w:t>
      </w:r>
      <w:r w:rsidR="00C15C0F">
        <w:rPr>
          <w:rFonts w:asciiTheme="minorHAnsi" w:hAnsiTheme="minorHAnsi"/>
          <w:bCs/>
          <w:lang w:eastAsia="en-US"/>
        </w:rPr>
        <w:t>bom ze szczególnymi potrzebami:</w:t>
      </w:r>
    </w:p>
    <w:p w14:paraId="0A8D2AE9" w14:textId="77777777" w:rsidR="00E74EA0" w:rsidRPr="00C15C0F" w:rsidRDefault="00BF2EEC" w:rsidP="00C15C0F">
      <w:pPr>
        <w:numPr>
          <w:ilvl w:val="0"/>
          <w:numId w:val="17"/>
        </w:numPr>
        <w:tabs>
          <w:tab w:val="clear" w:pos="0"/>
        </w:tabs>
        <w:ind w:left="1418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>w obszarze dostępności architektonicznej:</w:t>
      </w:r>
    </w:p>
    <w:p w14:paraId="64B3D002" w14:textId="77777777" w:rsidR="00E74EA0" w:rsidRPr="00C15C0F" w:rsidRDefault="00BF2EEC" w:rsidP="00C15C0F">
      <w:pPr>
        <w:numPr>
          <w:ilvl w:val="1"/>
          <w:numId w:val="17"/>
        </w:numPr>
        <w:tabs>
          <w:tab w:val="clear" w:pos="0"/>
        </w:tabs>
        <w:ind w:left="1701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>wolnych od barier poziomych i pionowych przestrzeni komunikacyjnych budynków, w których realizowane będzie zadanie publiczne;</w:t>
      </w:r>
    </w:p>
    <w:p w14:paraId="613FD2BD" w14:textId="77777777" w:rsidR="00E74EA0" w:rsidRPr="00C15C0F" w:rsidRDefault="00BF2EEC" w:rsidP="00C15C0F">
      <w:pPr>
        <w:numPr>
          <w:ilvl w:val="1"/>
          <w:numId w:val="17"/>
        </w:numPr>
        <w:tabs>
          <w:tab w:val="clear" w:pos="0"/>
        </w:tabs>
        <w:ind w:left="1701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>instalacji urządzeń lub zastosowania środków technicznych i rozwiązań architektonicznych w budynku, które umożliwiają dostęp do wszystkich pomieszczeń, w których realizowane jest zadanie publiczne, z wyłączeniem pomieszczeń technicznych,</w:t>
      </w:r>
    </w:p>
    <w:p w14:paraId="688479B8" w14:textId="77777777" w:rsidR="00E74EA0" w:rsidRPr="00C15C0F" w:rsidRDefault="00BF2EEC" w:rsidP="00C15C0F">
      <w:pPr>
        <w:numPr>
          <w:ilvl w:val="1"/>
          <w:numId w:val="17"/>
        </w:numPr>
        <w:tabs>
          <w:tab w:val="clear" w:pos="0"/>
        </w:tabs>
        <w:ind w:left="1701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>informacji o rozkładzie pomieszczeń w budynku w sposób wizualny, dotykowy lub głosowy,</w:t>
      </w:r>
    </w:p>
    <w:p w14:paraId="3D3E789C" w14:textId="77777777" w:rsidR="00E74EA0" w:rsidRPr="00C15C0F" w:rsidRDefault="00BF2EEC" w:rsidP="00C15C0F">
      <w:pPr>
        <w:numPr>
          <w:ilvl w:val="1"/>
          <w:numId w:val="17"/>
        </w:numPr>
        <w:tabs>
          <w:tab w:val="clear" w:pos="0"/>
        </w:tabs>
        <w:ind w:left="1701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>wstępu do budynku, w którym realizowane jest zadanie publiczne, osobie korzystającej z psa asystującego,</w:t>
      </w:r>
    </w:p>
    <w:p w14:paraId="20A5E0AD" w14:textId="77777777" w:rsidR="00E74EA0" w:rsidRPr="00C15C0F" w:rsidRDefault="00BF2EEC" w:rsidP="00C15C0F">
      <w:pPr>
        <w:numPr>
          <w:ilvl w:val="1"/>
          <w:numId w:val="17"/>
        </w:numPr>
        <w:tabs>
          <w:tab w:val="clear" w:pos="0"/>
        </w:tabs>
        <w:ind w:left="1701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>osobom ze szczególnymi potrzebami możliwości ewakuacji lub uratowania w inny sposób, z budynku w którym realizowane jest zadanie publiczne.</w:t>
      </w:r>
    </w:p>
    <w:p w14:paraId="16A904D2" w14:textId="77777777" w:rsidR="00E74EA0" w:rsidRPr="00C15C0F" w:rsidRDefault="00BF2EEC" w:rsidP="00C15C0F">
      <w:pPr>
        <w:ind w:left="1418"/>
        <w:contextualSpacing/>
        <w:rPr>
          <w:bCs/>
          <w:lang w:eastAsia="en-US"/>
        </w:rPr>
      </w:pPr>
      <w:r w:rsidRPr="00C15C0F">
        <w:rPr>
          <w:bCs/>
          <w:lang w:eastAsia="en-US"/>
        </w:rPr>
        <w:t>Dodatkowe informacje dotyczące dostępności architektonicznej:</w:t>
      </w:r>
    </w:p>
    <w:p w14:paraId="6D2ABA10" w14:textId="77777777" w:rsidR="00E74EA0" w:rsidRPr="00C15C0F" w:rsidRDefault="00BF2EEC" w:rsidP="00C15C0F">
      <w:pPr>
        <w:numPr>
          <w:ilvl w:val="0"/>
          <w:numId w:val="18"/>
        </w:numPr>
        <w:tabs>
          <w:tab w:val="clear" w:pos="0"/>
        </w:tabs>
        <w:ind w:left="1701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>Zleceniobiorca nie może dokonywać zakupu środków trwałych. W świetle zapisów zawartych w art. 3 ust. 1 pkt 15 ustawy o rachunkowości środki trwałe to rzeczowe aktywa trwałe i zrównane z nimi, o przewidywanym okresie ekonomicznej użyteczności dłuższym niż rok, kompletne, zdatne do użytku i przeznaczone na potrzeby jednostki. Limit kwoty, od której liczy się środki trwałe to 10.000 złotych (o ile organizacja, w dokumentach wewnętrznych, nie ustawiła limitu niżej).</w:t>
      </w:r>
    </w:p>
    <w:p w14:paraId="1B30E67C" w14:textId="77777777" w:rsidR="00E74EA0" w:rsidRPr="00C15C0F" w:rsidRDefault="00BF2EEC" w:rsidP="00C15C0F">
      <w:pPr>
        <w:numPr>
          <w:ilvl w:val="0"/>
          <w:numId w:val="19"/>
        </w:numPr>
        <w:tabs>
          <w:tab w:val="clear" w:pos="0"/>
        </w:tabs>
        <w:ind w:left="1701" w:hanging="283"/>
        <w:contextualSpacing/>
        <w:rPr>
          <w:bCs/>
          <w:lang w:eastAsia="en-US"/>
        </w:rPr>
      </w:pPr>
      <w:r w:rsidRPr="00C15C0F">
        <w:rPr>
          <w:bCs/>
          <w:lang w:eastAsia="en-US"/>
        </w:rPr>
        <w:t xml:space="preserve">W ramach środków bieżących dopuszcza się przeprowadzenie remontu lokalu w ramach kosztów realizacji działań. Zgodnie z art. 3 pkt 8 ustawy z dnia 7 lipca 1994 r. Prawo Budowlane remont to wykonywanie w istniejącym obiekcie budowlanym robót budowlanych polegających na odtworzeniu stanu pierwotnego, a nie stanowiących bieżącej konserwacji, przy czym dopuszcza się stosowanie wyrobów budowlanych innych niż użyto w stanie pierwotnym. Wobec powyższego istotą remontu jest przywrócenie (odtworzenie) pierwotnego stanu </w:t>
      </w:r>
      <w:r w:rsidRPr="00C15C0F">
        <w:rPr>
          <w:bCs/>
          <w:lang w:eastAsia="en-US"/>
        </w:rPr>
        <w:lastRenderedPageBreak/>
        <w:t xml:space="preserve">technicznego środka trwałego z dnia oddania do użytkowania, niezmieniającego jego charakteru i funkcji, następujące w trakcie eksploatacji środka trwałego </w:t>
      </w:r>
      <w:r w:rsidRPr="00C15C0F">
        <w:t>i wynikające</w:t>
      </w:r>
      <w:r w:rsidRPr="00C15C0F">
        <w:rPr>
          <w:bCs/>
          <w:lang w:eastAsia="en-US"/>
        </w:rPr>
        <w:t xml:space="preserve"> z tej eksploatacji. Niedopuszczalne są działania mające na celu modernizację (np.: wymiana przedmiotu dobrze działającego na inny posiadający lepsze parametry), która zwiększy wartość środka trwałego (budynku, lokalu). Środki mogą być wykorzystywane na koszty remontu, dostosowania do wymogów wynikających z przepisów BHP, PPOŻ oraz w celu zapewniania dostępności dla osób ze szczególnymi potrzebami, zgodnie z przepisami dotyczącymi prawa budowlanego oraz dostępności.</w:t>
      </w:r>
    </w:p>
    <w:p w14:paraId="3E06E176" w14:textId="77777777" w:rsidR="00E74EA0" w:rsidRPr="00C15C0F" w:rsidRDefault="00BF2EEC" w:rsidP="00C15C0F">
      <w:pPr>
        <w:numPr>
          <w:ilvl w:val="0"/>
          <w:numId w:val="17"/>
        </w:numPr>
        <w:tabs>
          <w:tab w:val="clear" w:pos="0"/>
        </w:tabs>
        <w:ind w:left="1418" w:hanging="284"/>
        <w:contextualSpacing/>
        <w:rPr>
          <w:bCs/>
          <w:lang w:eastAsia="en-US"/>
        </w:rPr>
      </w:pPr>
      <w:r w:rsidRPr="00C15C0F">
        <w:rPr>
          <w:bCs/>
          <w:lang w:eastAsia="en-US"/>
        </w:rPr>
        <w:t>w obszarze dostępności informacyjno-komunikacyjnej:</w:t>
      </w:r>
    </w:p>
    <w:p w14:paraId="29045179" w14:textId="77777777" w:rsidR="00E74EA0" w:rsidRPr="00C15C0F" w:rsidRDefault="00BF2EEC" w:rsidP="00C15C0F">
      <w:pPr>
        <w:numPr>
          <w:ilvl w:val="1"/>
          <w:numId w:val="17"/>
        </w:numPr>
        <w:tabs>
          <w:tab w:val="clear" w:pos="0"/>
        </w:tabs>
        <w:ind w:left="1701" w:hanging="283"/>
        <w:rPr>
          <w:rFonts w:asciiTheme="minorHAnsi" w:hAnsiTheme="minorHAnsi"/>
          <w:bCs/>
          <w:lang w:eastAsia="en-US"/>
        </w:rPr>
      </w:pPr>
      <w:r w:rsidRPr="00C15C0F">
        <w:rPr>
          <w:bCs/>
          <w:lang w:eastAsia="en-US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</w:t>
      </w:r>
      <w:r w:rsidRPr="00C15C0F">
        <w:rPr>
          <w:rFonts w:asciiTheme="minorHAnsi" w:hAnsiTheme="minorHAnsi"/>
          <w:bCs/>
          <w:lang w:eastAsia="en-US"/>
        </w:rPr>
        <w:t>słyszenia.</w:t>
      </w:r>
    </w:p>
    <w:p w14:paraId="25B64E20" w14:textId="77777777" w:rsidR="00E74EA0" w:rsidRPr="00C15C0F" w:rsidRDefault="00BF2EEC" w:rsidP="00C15C0F">
      <w:pPr>
        <w:spacing w:after="0"/>
        <w:ind w:left="567"/>
        <w:rPr>
          <w:rFonts w:asciiTheme="minorHAnsi" w:hAnsiTheme="minorHAnsi"/>
          <w:b/>
          <w:bCs/>
          <w:lang w:eastAsia="en-US"/>
        </w:rPr>
      </w:pPr>
      <w:r w:rsidRPr="00C15C0F">
        <w:rPr>
          <w:rFonts w:asciiTheme="minorHAnsi" w:hAnsiTheme="minorHAnsi"/>
          <w:b/>
          <w:bCs/>
          <w:lang w:eastAsia="en-US"/>
        </w:rPr>
        <w:t>W ofercie należy uwzględnić:</w:t>
      </w:r>
    </w:p>
    <w:p w14:paraId="5DDFD9D2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wykaz wyposażenia wraz z uzasadnieniem potrzeby zakupu oraz jego wykorzystania przy realizacji zadania (np.: sprzęt biurowy, edukacyjny, specjalistyczny);</w:t>
      </w:r>
    </w:p>
    <w:p w14:paraId="6FB42FF8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zakres prac remontowych wraz z uzasadnieniem potrzeby ich wykonania (w tym materiały niezbędne do przeprowadzenia tych prac);</w:t>
      </w:r>
    </w:p>
    <w:p w14:paraId="6EA11F66" w14:textId="77777777" w:rsidR="00E74EA0" w:rsidRPr="00C15C0F" w:rsidRDefault="00BF2EEC" w:rsidP="00C15C0F">
      <w:pPr>
        <w:pStyle w:val="Akapitzlist"/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  <w:bCs/>
        </w:rPr>
        <w:t>cenę jednostkową każdego planowanego zakupu oraz planowanych prac remontowych. W przypadku materiałów i drobnego sprzętu remontowego (np. farb, klejów, pędzli) nie ma potrzeby ich osobnego wyszczególniania – można je ująć łącznie w ramach szerszej pozycji kosztorysowej;</w:t>
      </w:r>
    </w:p>
    <w:p w14:paraId="363E71E2" w14:textId="69A4BA40" w:rsidR="00E74EA0" w:rsidRPr="00C15C0F" w:rsidRDefault="00BF2EEC" w:rsidP="00C15C0F">
      <w:pPr>
        <w:pStyle w:val="Akapitzlist"/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w przypadku wskazania konkretnego modelu / nazwy sprzętu nie ma możliwości jego </w:t>
      </w:r>
      <w:r w:rsidR="00C15C0F">
        <w:rPr>
          <w:rFonts w:asciiTheme="minorHAnsi" w:hAnsiTheme="minorHAnsi"/>
        </w:rPr>
        <w:t>zmiany bez zgody Zleceniodawcy;</w:t>
      </w:r>
    </w:p>
    <w:p w14:paraId="14A3BF40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w przypadku zakupu wyposażenia z usługą dostawy należy uwzględnić dostawę wraz z jej kosztem;</w:t>
      </w:r>
    </w:p>
    <w:p w14:paraId="68ECAD0D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dokumentację zdjęciową przed wykonaniem prac remontowych a w sprawozdaniu z realizacji zadania publicznego dokumentację zdjęciową po wykonaniu tych prac;</w:t>
      </w:r>
    </w:p>
    <w:p w14:paraId="5AB7AB68" w14:textId="74342364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informację zawierającą opis działań, które organizacja</w:t>
      </w:r>
      <w:r w:rsidR="00FA0837" w:rsidRPr="00C15C0F">
        <w:rPr>
          <w:rFonts w:asciiTheme="minorHAnsi" w:hAnsiTheme="minorHAnsi"/>
          <w:bCs/>
          <w:lang w:eastAsia="en-US"/>
        </w:rPr>
        <w:t xml:space="preserve"> realizuje i</w:t>
      </w:r>
      <w:r w:rsidRPr="00C15C0F">
        <w:rPr>
          <w:rFonts w:asciiTheme="minorHAnsi" w:hAnsiTheme="minorHAnsi"/>
          <w:bCs/>
          <w:lang w:eastAsia="en-US"/>
        </w:rPr>
        <w:t xml:space="preserve"> planuje realizować w ramach Programu z wykorzystaniem zakupionego doposażenia oraz wyremontowanych pomieszczeń, a także wyjaśnienie, w jaki sposób, w jakich obszarach i w jakim stopniu wydatki przyczynią się do usprawnienia tych działań - w ro</w:t>
      </w:r>
      <w:r w:rsidR="00C15C0F">
        <w:rPr>
          <w:rFonts w:asciiTheme="minorHAnsi" w:hAnsiTheme="minorHAnsi"/>
          <w:bCs/>
          <w:lang w:eastAsia="en-US"/>
        </w:rPr>
        <w:t>ku bieżącym i kolejnych latach;</w:t>
      </w:r>
    </w:p>
    <w:p w14:paraId="53378CE5" w14:textId="6BD1974B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oświadczenie, że planowany w ramach oferty zakup sprzętu, wyposażenia oraz planowane koszty remontu nie są ujęte w kosztorysie innej oferty złożonej przez oferenta innemu po</w:t>
      </w:r>
      <w:r w:rsidR="00C15C0F">
        <w:rPr>
          <w:rFonts w:asciiTheme="minorHAnsi" w:hAnsiTheme="minorHAnsi"/>
          <w:bCs/>
          <w:lang w:eastAsia="en-US"/>
        </w:rPr>
        <w:t>dmiotowi udzielającemu dotacji.</w:t>
      </w:r>
    </w:p>
    <w:p w14:paraId="15251E69" w14:textId="77777777" w:rsidR="00E74EA0" w:rsidRPr="00C15C0F" w:rsidRDefault="00BF2EEC" w:rsidP="00C15C0F">
      <w:pPr>
        <w:spacing w:before="240"/>
        <w:ind w:left="567"/>
        <w:rPr>
          <w:rFonts w:asciiTheme="minorHAnsi" w:hAnsiTheme="minorHAnsi"/>
          <w:b/>
          <w:bCs/>
          <w:lang w:eastAsia="en-US"/>
        </w:rPr>
      </w:pPr>
      <w:r w:rsidRPr="00C15C0F">
        <w:rPr>
          <w:rFonts w:asciiTheme="minorHAnsi" w:hAnsiTheme="minorHAnsi"/>
          <w:b/>
          <w:bCs/>
          <w:lang w:eastAsia="en-US"/>
        </w:rPr>
        <w:t>Dodatkowe informacje:</w:t>
      </w:r>
    </w:p>
    <w:p w14:paraId="4C0C673A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</w:rPr>
        <w:t>p</w:t>
      </w:r>
      <w:r w:rsidRPr="00C15C0F">
        <w:rPr>
          <w:rFonts w:asciiTheme="minorHAnsi" w:hAnsiTheme="minorHAnsi"/>
          <w:bCs/>
          <w:lang w:eastAsia="en-US"/>
        </w:rPr>
        <w:t>rzed podpisaniem umowy dotacyjnej konieczne będzie dostarczenie dokumentu poświadczającego tytuł prawny do zajmowanego lokalu - np. umowę najmu - którego okres nie wygasa przed zakończeniem realizacji zadania;</w:t>
      </w:r>
    </w:p>
    <w:p w14:paraId="12E1080C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lastRenderedPageBreak/>
        <w:t>w pierwszej kolejności pod uwagę będą brane wydatki przeznaczone na doposażenie i drobne prace remontowe zapewniające poprawę bezpieczeństwa odbiorców i realizatorów działań prowadzonych w ramach Programu;</w:t>
      </w:r>
    </w:p>
    <w:p w14:paraId="5DFE5E05" w14:textId="77777777" w:rsidR="00E74EA0" w:rsidRPr="00C15C0F" w:rsidRDefault="00BF2EEC" w:rsidP="00C15C0F">
      <w:pPr>
        <w:numPr>
          <w:ilvl w:val="0"/>
          <w:numId w:val="13"/>
        </w:numPr>
        <w:tabs>
          <w:tab w:val="clear" w:pos="0"/>
        </w:tabs>
        <w:spacing w:after="0"/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>Biuro Pomocy i Projektów Społecznych może dokonać weryfikacji jakie wyposażenie organizacja zakupiła oraz jakie prace remontowe wykonała w ramach umów zawartych z m.st. Warszawą w latach 2023-2025 r.</w:t>
      </w:r>
    </w:p>
    <w:p w14:paraId="0269BF5C" w14:textId="77777777" w:rsidR="00E74EA0" w:rsidRPr="00C15C0F" w:rsidRDefault="00C70B7C" w:rsidP="00C15C0F">
      <w:pPr>
        <w:numPr>
          <w:ilvl w:val="0"/>
          <w:numId w:val="13"/>
        </w:numPr>
        <w:tabs>
          <w:tab w:val="clear" w:pos="0"/>
        </w:tabs>
        <w:ind w:left="851" w:hanging="284"/>
        <w:rPr>
          <w:rFonts w:asciiTheme="minorHAnsi" w:hAnsiTheme="minorHAnsi"/>
          <w:bCs/>
          <w:lang w:eastAsia="en-US"/>
        </w:rPr>
      </w:pPr>
      <w:r w:rsidRPr="00C15C0F">
        <w:rPr>
          <w:rFonts w:asciiTheme="minorHAnsi" w:hAnsiTheme="minorHAnsi"/>
          <w:bCs/>
          <w:lang w:eastAsia="en-US"/>
        </w:rPr>
        <w:t xml:space="preserve">wyposażenia </w:t>
      </w:r>
      <w:r w:rsidR="00EA1492" w:rsidRPr="00C15C0F">
        <w:rPr>
          <w:rFonts w:asciiTheme="minorHAnsi" w:hAnsiTheme="minorHAnsi"/>
          <w:bCs/>
          <w:lang w:eastAsia="en-US"/>
        </w:rPr>
        <w:t>zakupionego ze środków pochodzących z</w:t>
      </w:r>
      <w:r w:rsidRPr="00C15C0F">
        <w:rPr>
          <w:rFonts w:asciiTheme="minorHAnsi" w:hAnsiTheme="minorHAnsi"/>
          <w:bCs/>
          <w:lang w:eastAsia="en-US"/>
        </w:rPr>
        <w:t xml:space="preserve"> dotacj</w:t>
      </w:r>
      <w:r w:rsidR="00EA1492" w:rsidRPr="00C15C0F">
        <w:rPr>
          <w:rFonts w:asciiTheme="minorHAnsi" w:hAnsiTheme="minorHAnsi"/>
          <w:bCs/>
          <w:lang w:eastAsia="en-US"/>
        </w:rPr>
        <w:t>i</w:t>
      </w:r>
      <w:r w:rsidRPr="00C15C0F">
        <w:rPr>
          <w:rFonts w:asciiTheme="minorHAnsi" w:hAnsiTheme="minorHAnsi"/>
          <w:bCs/>
          <w:lang w:eastAsia="en-US"/>
        </w:rPr>
        <w:t xml:space="preserve"> nie można zbyć przez 5 lat od dnia zakupu.</w:t>
      </w:r>
    </w:p>
    <w:p w14:paraId="2DDEE239" w14:textId="77777777" w:rsidR="00E74EA0" w:rsidRPr="00C15C0F" w:rsidRDefault="00BF2EEC" w:rsidP="00C15C0F">
      <w:pPr>
        <w:spacing w:after="0"/>
        <w:ind w:left="567"/>
        <w:rPr>
          <w:rFonts w:asciiTheme="minorHAnsi" w:hAnsiTheme="minorHAnsi"/>
          <w:b/>
          <w:bCs/>
          <w:lang w:eastAsia="en-US"/>
        </w:rPr>
      </w:pPr>
      <w:r w:rsidRPr="00C15C0F">
        <w:rPr>
          <w:rFonts w:asciiTheme="minorHAnsi" w:hAnsiTheme="minorHAnsi"/>
          <w:b/>
          <w:bCs/>
          <w:lang w:eastAsia="en-US"/>
        </w:rPr>
        <w:t>W ramach przyznanej dotacji nie można finansować:</w:t>
      </w:r>
    </w:p>
    <w:p w14:paraId="5A996838" w14:textId="28198240" w:rsidR="00E74EA0" w:rsidRPr="00C15C0F" w:rsidRDefault="00BF2EEC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kosztów osobowych, z wyjątkiem wynagrodzenia za obsługę księgową projektu oraz kosztów robocizn</w:t>
      </w:r>
      <w:r w:rsidR="00C15C0F">
        <w:rPr>
          <w:rFonts w:asciiTheme="minorHAnsi" w:hAnsiTheme="minorHAnsi"/>
        </w:rPr>
        <w:t>y w przypadku prac remontowych.</w:t>
      </w:r>
    </w:p>
    <w:p w14:paraId="4A401013" w14:textId="5EE221FE" w:rsidR="00E74EA0" w:rsidRPr="00C15C0F" w:rsidRDefault="00BF2EEC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kosztów eksploatacji zakupionego wyposażenia po zakończeniu okresu </w:t>
      </w:r>
      <w:r w:rsidR="00C15C0F">
        <w:rPr>
          <w:rFonts w:asciiTheme="minorHAnsi" w:hAnsiTheme="minorHAnsi"/>
        </w:rPr>
        <w:t>realizacji zadania publicznego;</w:t>
      </w:r>
    </w:p>
    <w:p w14:paraId="16B579AE" w14:textId="77777777" w:rsidR="00E74EA0" w:rsidRPr="00C15C0F" w:rsidRDefault="00BF2EEC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prac remontowych o dużej skali, wymagających znaczących ingerencji w substancję budynku lub lokalu oraz dodatkowych zgód (np. od właściciela nieruchomości, inspektora nadzoru budowlanego) – takie prace wykraczają poza zakres drobnych prac remontowych przewidzianych w konkursie;</w:t>
      </w:r>
    </w:p>
    <w:p w14:paraId="4B09B458" w14:textId="77777777" w:rsidR="00E74EA0" w:rsidRPr="00C15C0F" w:rsidRDefault="00BF2EEC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prac remontowych, które zgodnie z obowiązującą umową najmu mogą zostać wykonane przez zarządcę lokalu (np. Zakład Gospodarowania Nieruchomościami) w ramach obowiązków wynikających z tej umowy;</w:t>
      </w:r>
    </w:p>
    <w:p w14:paraId="4E586D48" w14:textId="77777777" w:rsidR="00E74EA0" w:rsidRPr="00C15C0F" w:rsidRDefault="00BF2EEC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  <w:bCs/>
        </w:rPr>
        <w:t xml:space="preserve">zakupów </w:t>
      </w:r>
      <w:r w:rsidRPr="00C15C0F">
        <w:rPr>
          <w:rFonts w:asciiTheme="minorHAnsi" w:hAnsiTheme="minorHAnsi"/>
        </w:rPr>
        <w:t>takich j</w:t>
      </w:r>
      <w:r w:rsidR="009E4952" w:rsidRPr="00C15C0F">
        <w:rPr>
          <w:rFonts w:asciiTheme="minorHAnsi" w:hAnsiTheme="minorHAnsi"/>
        </w:rPr>
        <w:t>ak: środki czystości; materiały</w:t>
      </w:r>
      <w:r w:rsidRPr="00C15C0F">
        <w:rPr>
          <w:rFonts w:asciiTheme="minorHAnsi" w:hAnsiTheme="minorHAnsi"/>
        </w:rPr>
        <w:t xml:space="preserve"> piśmiennicze; artykuły spożywcze, inne materiały zużywane podczas codziennych zajęć;</w:t>
      </w:r>
    </w:p>
    <w:p w14:paraId="316550C7" w14:textId="721A3AF3" w:rsidR="00E74EA0" w:rsidRPr="00C15C0F" w:rsidRDefault="008A41F9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  <w:bCs/>
        </w:rPr>
        <w:t>zakupów sprzętu, wyposażenia oraz kosztów remontu, które są ujęte w kosztorysie innej oferty realizowanej przez oferenta</w:t>
      </w:r>
      <w:r w:rsidR="00C15C0F">
        <w:rPr>
          <w:rFonts w:asciiTheme="minorHAnsi" w:hAnsiTheme="minorHAnsi"/>
          <w:bCs/>
        </w:rPr>
        <w:t>;</w:t>
      </w:r>
    </w:p>
    <w:p w14:paraId="16D8B22B" w14:textId="388550EC" w:rsidR="00E74EA0" w:rsidRPr="00C15C0F" w:rsidRDefault="00B43486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  <w:bCs/>
        </w:rPr>
        <w:t>zabudowy meblowej lub stałej aranżacji wnętrz, które na trwałe są związane z pomieszczeniem</w:t>
      </w:r>
      <w:r w:rsidR="00BF2EEC" w:rsidRPr="00C15C0F">
        <w:rPr>
          <w:rFonts w:asciiTheme="minorHAnsi" w:hAnsiTheme="minorHAnsi"/>
        </w:rPr>
        <w:t>;</w:t>
      </w:r>
    </w:p>
    <w:p w14:paraId="1237E73A" w14:textId="77777777" w:rsidR="00E74EA0" w:rsidRPr="00C15C0F" w:rsidRDefault="00BF2EEC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zakupu dodatkowego oprogramowania na podstawie licencji (niebędącego częścią składową zakupionego wyposażenia);</w:t>
      </w:r>
    </w:p>
    <w:p w14:paraId="05AE5A1D" w14:textId="77777777" w:rsidR="00E74EA0" w:rsidRPr="00C15C0F" w:rsidRDefault="00BF2EEC" w:rsidP="00C15C0F">
      <w:pPr>
        <w:pStyle w:val="Akapitzlist"/>
        <w:numPr>
          <w:ilvl w:val="0"/>
          <w:numId w:val="14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zakupu pojedynczego elementu wyposażenia o wartości przewyższającej 10 000 zł;</w:t>
      </w:r>
    </w:p>
    <w:p w14:paraId="0CC3CD4D" w14:textId="77777777" w:rsidR="00E74EA0" w:rsidRPr="00C15C0F" w:rsidRDefault="00BF2EEC" w:rsidP="00C15C0F">
      <w:pPr>
        <w:ind w:left="567"/>
        <w:rPr>
          <w:rFonts w:asciiTheme="minorHAnsi" w:hAnsiTheme="minorHAnsi"/>
          <w:lang w:eastAsia="en-US"/>
        </w:rPr>
      </w:pPr>
      <w:r w:rsidRPr="00C15C0F">
        <w:rPr>
          <w:rFonts w:asciiTheme="minorHAnsi" w:hAnsiTheme="minorHAnsi"/>
          <w:lang w:eastAsia="en-US"/>
        </w:rPr>
        <w:t>Wydatki majątkowe (inwestycyjne) nie mogą być finansowane w ramach przyznanej dotacji. Wydatki majątkowe to wydatki, które nie są wydatkami bieżącymi. Przeznacza się je na: inwestycje i zakupy inwestycyjne, które prowadzą do powiększenia majątku jednostki. Następuje to poprzez budowę obiektów majątku trwałego, bądź poprzez nabywanie aktywów finansowych.</w:t>
      </w:r>
    </w:p>
    <w:p w14:paraId="4EA7B061" w14:textId="77777777" w:rsidR="00E74EA0" w:rsidRPr="00C15C0F" w:rsidRDefault="00BF2EEC" w:rsidP="00C15C0F">
      <w:pPr>
        <w:spacing w:after="0"/>
        <w:ind w:left="567"/>
        <w:rPr>
          <w:rFonts w:asciiTheme="minorHAnsi" w:hAnsiTheme="minorHAnsi"/>
          <w:lang w:eastAsia="en-US"/>
        </w:rPr>
      </w:pPr>
      <w:r w:rsidRPr="00C15C0F">
        <w:rPr>
          <w:rFonts w:asciiTheme="minorHAnsi" w:hAnsiTheme="minorHAnsi"/>
          <w:lang w:eastAsia="en-US"/>
        </w:rPr>
        <w:t>Za wydatki majątkowe uważa się:</w:t>
      </w:r>
    </w:p>
    <w:p w14:paraId="122655ED" w14:textId="77777777" w:rsidR="00E74EA0" w:rsidRPr="00C15C0F" w:rsidRDefault="00BF2EEC" w:rsidP="00C15C0F">
      <w:pPr>
        <w:pStyle w:val="Tekstpodstawowy"/>
        <w:spacing w:after="0"/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•</w:t>
      </w:r>
      <w:r w:rsidRPr="00C15C0F">
        <w:rPr>
          <w:rFonts w:asciiTheme="minorHAnsi" w:hAnsiTheme="minorHAnsi"/>
        </w:rPr>
        <w:tab/>
      </w:r>
      <w:r w:rsidRPr="00C15C0F">
        <w:rPr>
          <w:rFonts w:eastAsia="Calibri"/>
        </w:rPr>
        <w:t>Ś</w:t>
      </w:r>
      <w:r w:rsidRPr="00C15C0F">
        <w:rPr>
          <w:rFonts w:asciiTheme="minorHAnsi" w:hAnsiTheme="minorHAnsi"/>
        </w:rPr>
        <w:t>rodki trwałe oraz wartości niematerialne o wartości przewyższającej 10 tys. zł i okresie użytkowania dłuższym niż 1 rok, gdzie odpisy amortyzacyjne od tych środków i wartości niematerialnych i prawnych nie są dokonywane jednorazowo.</w:t>
      </w:r>
    </w:p>
    <w:p w14:paraId="63BB3305" w14:textId="77777777" w:rsidR="00E74EA0" w:rsidRPr="00C15C0F" w:rsidRDefault="00BF2EEC" w:rsidP="00C15C0F">
      <w:pPr>
        <w:pStyle w:val="Tekstpodstawowy"/>
        <w:spacing w:after="0"/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•</w:t>
      </w:r>
      <w:r w:rsidRPr="00C15C0F">
        <w:rPr>
          <w:rFonts w:eastAsia="Calibri"/>
        </w:rPr>
        <w:tab/>
      </w:r>
      <w:r w:rsidRPr="00C15C0F">
        <w:rPr>
          <w:rFonts w:asciiTheme="minorHAnsi" w:hAnsiTheme="minorHAnsi"/>
        </w:rPr>
        <w:t xml:space="preserve">Pierwsze wyposażenie budynku, do którego zalicza się wszystkie instalacje wbudowane w konstrukcje budynku na stałe, np. instalacje sanitarne, elektryczne, sygnalizacyjne, </w:t>
      </w:r>
      <w:r w:rsidRPr="00C15C0F">
        <w:rPr>
          <w:rFonts w:asciiTheme="minorHAnsi" w:hAnsiTheme="minorHAnsi"/>
        </w:rPr>
        <w:lastRenderedPageBreak/>
        <w:t>komputerowe, telekomunikacyjne, przeciwpożarowe oraz wyposażenie budynku np. wbudowane meble (meble, dywany itp. zaliczamy do pozostałych środków trwałych).</w:t>
      </w:r>
    </w:p>
    <w:p w14:paraId="1FA1436D" w14:textId="77777777" w:rsidR="00E74EA0" w:rsidRPr="00C15C0F" w:rsidRDefault="00BF2EEC" w:rsidP="00C15C0F">
      <w:pPr>
        <w:pStyle w:val="Tekstpodstawowy"/>
        <w:spacing w:after="240"/>
        <w:ind w:left="851" w:hanging="284"/>
        <w:rPr>
          <w:rFonts w:asciiTheme="minorHAnsi" w:hAnsiTheme="minorHAnsi"/>
          <w:lang w:eastAsia="en-US"/>
        </w:rPr>
      </w:pPr>
      <w:r w:rsidRPr="00C15C0F">
        <w:rPr>
          <w:rFonts w:asciiTheme="minorHAnsi" w:hAnsiTheme="minorHAnsi"/>
        </w:rPr>
        <w:t>•</w:t>
      </w:r>
      <w:r w:rsidRPr="00C15C0F">
        <w:rPr>
          <w:rFonts w:eastAsia="Calibri"/>
        </w:rPr>
        <w:tab/>
      </w:r>
      <w:r w:rsidRPr="00C15C0F">
        <w:rPr>
          <w:rFonts w:asciiTheme="minorHAnsi" w:hAnsiTheme="minorHAnsi"/>
          <w:lang w:eastAsia="en-US"/>
        </w:rPr>
        <w:t xml:space="preserve">Nabyte wartości niematerialne i prawne o wartości </w:t>
      </w:r>
      <w:r w:rsidRPr="00C15C0F">
        <w:rPr>
          <w:rFonts w:asciiTheme="minorHAnsi" w:hAnsiTheme="minorHAnsi"/>
        </w:rPr>
        <w:t>przewyższającej</w:t>
      </w:r>
      <w:r w:rsidRPr="00C15C0F">
        <w:rPr>
          <w:rFonts w:asciiTheme="minorHAnsi" w:hAnsiTheme="minorHAnsi"/>
          <w:lang w:eastAsia="en-US"/>
        </w:rPr>
        <w:t xml:space="preserve"> 10 tys. zł, takie jak: autorskie prawa majątkowe, licencje, oprogramowanie komputerowe itp.</w:t>
      </w:r>
    </w:p>
    <w:p w14:paraId="08A462B3" w14:textId="77777777" w:rsidR="00E74EA0" w:rsidRPr="00C15C0F" w:rsidRDefault="00BF2EEC" w:rsidP="00C15C0F">
      <w:pPr>
        <w:spacing w:after="0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5.</w:t>
      </w:r>
      <w:r w:rsidRPr="00C15C0F">
        <w:rPr>
          <w:rFonts w:asciiTheme="minorHAnsi" w:hAnsiTheme="minorHAnsi"/>
        </w:rPr>
        <w:tab/>
        <w:t>Zapewnienie dostępności osobom ze szczególnymi potrzebami:</w:t>
      </w:r>
    </w:p>
    <w:p w14:paraId="256B260D" w14:textId="77777777" w:rsidR="00E74EA0" w:rsidRPr="00C15C0F" w:rsidRDefault="00BF2EEC" w:rsidP="00C15C0F">
      <w:pPr>
        <w:ind w:left="567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Oferent/Oferenci przy realizacji zadania publicznego odpowiedzialny/odpowiedzialni jest/są za uwzględnienie minimalnych wymagań służących zapewnieniu dostępności </w:t>
      </w:r>
      <w:r w:rsidRPr="00C15C0F">
        <w:rPr>
          <w:rFonts w:asciiTheme="minorHAnsi" w:hAnsiTheme="minorHAnsi"/>
          <w:b/>
          <w:bCs/>
        </w:rPr>
        <w:t>informacyjno-komunikacyjnej</w:t>
      </w:r>
      <w:r w:rsidRPr="00C15C0F">
        <w:rPr>
          <w:rFonts w:asciiTheme="minorHAnsi" w:hAnsiTheme="minorHAnsi"/>
        </w:rPr>
        <w:t xml:space="preserve"> określonych w artykule 6 ustawy z dnia 19 lipca 2019 r. o zapewnianiu dostępności osobom ze szczególnymi potrzebami.</w:t>
      </w:r>
      <w:r w:rsidRPr="00C15C0F">
        <w:rPr>
          <w:rFonts w:asciiTheme="minorHAnsi" w:hAnsiTheme="minorHAnsi"/>
          <w:b/>
        </w:rPr>
        <w:t xml:space="preserve"> </w:t>
      </w:r>
      <w:r w:rsidRPr="00C15C0F">
        <w:rPr>
          <w:rFonts w:asciiTheme="minorHAnsi" w:hAnsiTheme="minorHAnsi"/>
        </w:rPr>
        <w:t>Wydatki związane z zapewnianiem dostępności przy realizacji planowanych działań mogą być uwzględnione w kosztorysie zadania.</w:t>
      </w:r>
    </w:p>
    <w:p w14:paraId="1A9F7CF8" w14:textId="419A990E" w:rsidR="00E74EA0" w:rsidRPr="00C15C0F" w:rsidRDefault="00BF2EEC" w:rsidP="00C15C0F">
      <w:pPr>
        <w:pStyle w:val="Akapitzlist"/>
        <w:ind w:left="568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6.</w:t>
      </w:r>
      <w:r w:rsidRPr="00C15C0F">
        <w:rPr>
          <w:rFonts w:asciiTheme="minorHAnsi" w:hAnsiTheme="minorHAnsi"/>
        </w:rPr>
        <w:tab/>
        <w:t>Rez</w:t>
      </w:r>
      <w:r w:rsidR="00C15C0F">
        <w:rPr>
          <w:rFonts w:asciiTheme="minorHAnsi" w:hAnsiTheme="minorHAnsi"/>
        </w:rPr>
        <w:t>ultaty zadania:</w:t>
      </w:r>
    </w:p>
    <w:p w14:paraId="7389EB11" w14:textId="5E5BD689" w:rsidR="00E74EA0" w:rsidRPr="00C15C0F" w:rsidRDefault="00BF2EEC" w:rsidP="00C15C0F">
      <w:pPr>
        <w:pStyle w:val="Akapitzlist"/>
        <w:numPr>
          <w:ilvl w:val="0"/>
          <w:numId w:val="20"/>
        </w:numPr>
        <w:tabs>
          <w:tab w:val="clear" w:pos="0"/>
        </w:tabs>
        <w:ind w:left="851" w:hanging="284"/>
        <w:rPr>
          <w:i/>
        </w:rPr>
      </w:pPr>
      <w:r w:rsidRPr="00C15C0F">
        <w:t xml:space="preserve">Poprawa </w:t>
      </w:r>
      <w:r w:rsidRPr="00C15C0F">
        <w:rPr>
          <w:i/>
        </w:rPr>
        <w:t xml:space="preserve">bezpieczeństwa uczestników i realizatorów działań </w:t>
      </w:r>
      <w:r w:rsidR="006F53FC" w:rsidRPr="00C15C0F">
        <w:rPr>
          <w:i/>
        </w:rPr>
        <w:t>w ramach Programu</w:t>
      </w:r>
      <w:r w:rsidRPr="00C15C0F">
        <w:rPr>
          <w:i/>
        </w:rPr>
        <w:t>;</w:t>
      </w:r>
    </w:p>
    <w:p w14:paraId="0D0BD521" w14:textId="376C04A2" w:rsidR="00E74EA0" w:rsidRPr="00C15C0F" w:rsidRDefault="00BF2EEC" w:rsidP="00C15C0F">
      <w:pPr>
        <w:pStyle w:val="Akapitzlist"/>
        <w:numPr>
          <w:ilvl w:val="0"/>
          <w:numId w:val="20"/>
        </w:numPr>
        <w:tabs>
          <w:tab w:val="clear" w:pos="0"/>
        </w:tabs>
        <w:ind w:left="851" w:hanging="284"/>
        <w:rPr>
          <w:rFonts w:asciiTheme="minorHAnsi" w:hAnsiTheme="minorHAnsi"/>
          <w:i/>
        </w:rPr>
      </w:pPr>
      <w:r w:rsidRPr="00C15C0F">
        <w:rPr>
          <w:rFonts w:asciiTheme="minorHAnsi" w:hAnsiTheme="minorHAnsi"/>
          <w:i/>
        </w:rPr>
        <w:t xml:space="preserve">Poprawa warunków </w:t>
      </w:r>
      <w:r w:rsidRPr="00C15C0F">
        <w:rPr>
          <w:rFonts w:cs="Calibri"/>
          <w:i/>
        </w:rPr>
        <w:t>realizacji</w:t>
      </w:r>
      <w:r w:rsidRPr="00C15C0F">
        <w:rPr>
          <w:rFonts w:asciiTheme="minorHAnsi" w:hAnsiTheme="minorHAnsi"/>
          <w:i/>
        </w:rPr>
        <w:t xml:space="preserve"> usług i działań prowadzonych </w:t>
      </w:r>
      <w:r w:rsidRPr="00C15C0F">
        <w:rPr>
          <w:rFonts w:cs="Calibri"/>
          <w:i/>
        </w:rPr>
        <w:t>w ramach Programu</w:t>
      </w:r>
      <w:r w:rsidRPr="00C15C0F">
        <w:rPr>
          <w:rFonts w:asciiTheme="minorHAnsi" w:hAnsiTheme="minorHAnsi"/>
          <w:i/>
        </w:rPr>
        <w:t>, w tym zwiększenie dostępności miejsc świadczenia usług;</w:t>
      </w:r>
    </w:p>
    <w:p w14:paraId="19FC0079" w14:textId="77777777" w:rsidR="00E74EA0" w:rsidRPr="00C15C0F" w:rsidRDefault="00BF2EEC" w:rsidP="00C15C0F">
      <w:pPr>
        <w:pStyle w:val="Akapitzlist"/>
        <w:numPr>
          <w:ilvl w:val="0"/>
          <w:numId w:val="20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  <w:i/>
        </w:rPr>
        <w:t>Podniesienie</w:t>
      </w:r>
      <w:r w:rsidRPr="00C15C0F">
        <w:rPr>
          <w:rFonts w:asciiTheme="minorHAnsi" w:hAnsiTheme="minorHAnsi"/>
        </w:rPr>
        <w:t xml:space="preserve"> jakości działań realizowanych w ramach Programu.</w:t>
      </w:r>
    </w:p>
    <w:p w14:paraId="73AADF3F" w14:textId="77777777" w:rsidR="00E74EA0" w:rsidRPr="00C15C0F" w:rsidRDefault="00BF2EEC" w:rsidP="00C15C0F">
      <w:pPr>
        <w:spacing w:after="0"/>
        <w:ind w:left="567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Proponowane wskaźniki:</w:t>
      </w:r>
    </w:p>
    <w:p w14:paraId="7D43640D" w14:textId="77777777" w:rsidR="00E74EA0" w:rsidRPr="00C15C0F" w:rsidRDefault="00BF2EEC" w:rsidP="00C15C0F">
      <w:pPr>
        <w:pStyle w:val="Akapitzlist"/>
        <w:numPr>
          <w:ilvl w:val="0"/>
          <w:numId w:val="21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Liczba zakupionego sprzętu w ramach doposażenia placówki/podmiotu;</w:t>
      </w:r>
    </w:p>
    <w:p w14:paraId="1D6243C8" w14:textId="77777777" w:rsidR="00E74EA0" w:rsidRPr="00C15C0F" w:rsidRDefault="00BF2EEC" w:rsidP="00C15C0F">
      <w:pPr>
        <w:pStyle w:val="Akapitzlist"/>
        <w:numPr>
          <w:ilvl w:val="0"/>
          <w:numId w:val="21"/>
        </w:numPr>
        <w:tabs>
          <w:tab w:val="clear" w:pos="0"/>
        </w:tabs>
        <w:ind w:left="851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Łączna wartość wykonanych prac remontowych (wraz z materiałami i robocizną).</w:t>
      </w:r>
    </w:p>
    <w:p w14:paraId="5DCF0946" w14:textId="77777777" w:rsidR="00E74EA0" w:rsidRPr="00C15C0F" w:rsidRDefault="00BF2EEC" w:rsidP="00C15C0F">
      <w:pPr>
        <w:ind w:left="567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Oferenci mogą zaproponować dodatkowe rezultaty i wskaźniki.</w:t>
      </w:r>
    </w:p>
    <w:p w14:paraId="6AA3B66B" w14:textId="77777777" w:rsidR="00E74EA0" w:rsidRPr="00C15C0F" w:rsidRDefault="00BF2EEC" w:rsidP="00C15C0F">
      <w:pPr>
        <w:ind w:left="567"/>
        <w:rPr>
          <w:rFonts w:asciiTheme="minorHAnsi" w:hAnsiTheme="minorHAnsi"/>
          <w:b/>
        </w:rPr>
      </w:pPr>
      <w:r w:rsidRPr="00C15C0F">
        <w:rPr>
          <w:rFonts w:asciiTheme="minorHAnsi" w:hAnsiTheme="minorHAnsi"/>
          <w:b/>
        </w:rPr>
        <w:t>Uwaga: W trakcie realizacji zadania nie będzie możliwości dodania nowych rezultatów i wskaźników.</w:t>
      </w:r>
    </w:p>
    <w:p w14:paraId="259A079B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7.</w:t>
      </w:r>
      <w:r w:rsidRPr="00C15C0F">
        <w:rPr>
          <w:rFonts w:asciiTheme="minorHAnsi" w:hAnsiTheme="minorHAnsi"/>
        </w:rPr>
        <w:tab/>
      </w:r>
      <w:r w:rsidRPr="00C15C0F">
        <w:rPr>
          <w:rFonts w:asciiTheme="minorHAnsi" w:hAnsiTheme="minorHAnsi"/>
          <w:lang w:eastAsia="pl-PL"/>
        </w:rPr>
        <w:t>Wymagane jest wypełnienie tabeli w pkt III.6 oferty tj. dodatkowych informacji dot. Rezultatów realizacji zadania publicznego.</w:t>
      </w:r>
    </w:p>
    <w:p w14:paraId="21228BE5" w14:textId="57652CDF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8.</w:t>
      </w:r>
      <w:r w:rsidRPr="00C15C0F">
        <w:rPr>
          <w:rFonts w:asciiTheme="minorHAnsi" w:hAnsiTheme="minorHAnsi"/>
        </w:rPr>
        <w:tab/>
        <w:t xml:space="preserve">Termin realizacji zadania: </w:t>
      </w:r>
      <w:r w:rsidR="002A6E1F" w:rsidRPr="00C15C0F">
        <w:rPr>
          <w:rFonts w:asciiTheme="minorHAnsi" w:hAnsiTheme="minorHAnsi"/>
        </w:rPr>
        <w:t xml:space="preserve">1 września </w:t>
      </w:r>
      <w:r w:rsidRPr="00C15C0F">
        <w:rPr>
          <w:rFonts w:asciiTheme="minorHAnsi" w:hAnsiTheme="minorHAnsi"/>
        </w:rPr>
        <w:t>do 31 grudnia 2025 roku</w:t>
      </w:r>
    </w:p>
    <w:p w14:paraId="455D87B7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9.</w:t>
      </w:r>
      <w:r w:rsidRPr="00C15C0F">
        <w:rPr>
          <w:rFonts w:asciiTheme="minorHAnsi" w:hAnsiTheme="minorHAnsi"/>
        </w:rPr>
        <w:tab/>
        <w:t>Miejsce realizacji zadania: m.st. Warszawa</w:t>
      </w:r>
    </w:p>
    <w:p w14:paraId="302C41D0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10.</w:t>
      </w:r>
      <w:r w:rsidRPr="00C15C0F">
        <w:rPr>
          <w:rFonts w:asciiTheme="minorHAnsi" w:hAnsiTheme="minorHAnsi"/>
        </w:rPr>
        <w:tab/>
        <w:t>W ramach niniejszego otwartego konkursu ofert każdy podmiot może złożyć maksymalnie jedną ofertę.</w:t>
      </w:r>
    </w:p>
    <w:p w14:paraId="2CE5833C" w14:textId="77777777" w:rsidR="00E74EA0" w:rsidRPr="00C15C0F" w:rsidRDefault="00BF2EEC" w:rsidP="00C15C0F">
      <w:pPr>
        <w:pStyle w:val="Akapitzlist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11.</w:t>
      </w:r>
      <w:r w:rsidRPr="00C15C0F">
        <w:rPr>
          <w:rFonts w:asciiTheme="minorHAnsi" w:hAnsiTheme="minorHAnsi"/>
        </w:rPr>
        <w:tab/>
        <w:t xml:space="preserve">Środki przeznaczone na realizację zadania: 2 000 000,00 zł. </w:t>
      </w:r>
    </w:p>
    <w:p w14:paraId="7BE850E3" w14:textId="77777777" w:rsidR="00E74EA0" w:rsidRPr="00C15C0F" w:rsidRDefault="00BF2EEC" w:rsidP="00C15C0F">
      <w:pPr>
        <w:rPr>
          <w:rFonts w:asciiTheme="minorHAnsi" w:hAnsiTheme="minorHAnsi"/>
        </w:rPr>
      </w:pPr>
      <w:r w:rsidRPr="00C15C0F">
        <w:rPr>
          <w:rFonts w:asciiTheme="minorHAnsi" w:hAnsiTheme="minorHAnsi"/>
        </w:rPr>
        <w:t>§ 2. Zasady przyznawania dotacji</w:t>
      </w:r>
    </w:p>
    <w:p w14:paraId="1A74083B" w14:textId="77777777" w:rsidR="00E74EA0" w:rsidRPr="00C15C0F" w:rsidRDefault="00BF2EEC" w:rsidP="00C15C0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Postępowanie konkursowe odbywać się będzie z uwzględnieniem zasad określonych w ustawie z dnia 24 kwietnia 2003 roku o działalności pożytku publicznego i o wolontariacie.</w:t>
      </w:r>
    </w:p>
    <w:p w14:paraId="706C8B55" w14:textId="77777777" w:rsidR="00E74EA0" w:rsidRPr="00C15C0F" w:rsidRDefault="00BF2EEC" w:rsidP="00C15C0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14:paraId="0F2A3C29" w14:textId="77777777" w:rsidR="00E74EA0" w:rsidRPr="00C15C0F" w:rsidRDefault="00BF2EEC" w:rsidP="00C15C0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Przy realizacji zadania możliwa jest współpraca z podmiotami niewymienionymi w art. 3 ust. 3 ustawy z dnia 24 kwietnia 2003 r. o działalności pożytku publicznego i o wolontariacie (również z jednostkami organizacyjnymi lub osobami prawnymi m.st. Warszawy). Podmioty te mogą </w:t>
      </w:r>
      <w:r w:rsidRPr="00C15C0F">
        <w:rPr>
          <w:rFonts w:asciiTheme="minorHAnsi" w:hAnsiTheme="minorHAnsi"/>
        </w:rPr>
        <w:lastRenderedPageBreak/>
        <w:t>uczestniczyć w zadaniu oferując wsparcie merytoryczne lub rzeczowe. Informacje o sposobie zaangażowania takiego podmiotu w realizację zadania należy przedstawić w pkt. III.3 oferty tj. „</w:t>
      </w:r>
      <w:r w:rsidRPr="00C15C0F">
        <w:rPr>
          <w:rFonts w:asciiTheme="minorHAnsi" w:hAnsiTheme="minorHAnsi"/>
          <w:bCs/>
        </w:rPr>
        <w:t xml:space="preserve">Syntetycznym opisie zadania”. </w:t>
      </w:r>
    </w:p>
    <w:p w14:paraId="6252A32B" w14:textId="77777777" w:rsidR="00E74EA0" w:rsidRPr="00C15C0F" w:rsidRDefault="00BF2EEC" w:rsidP="00C15C0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Na dane zadanie oferent może otrzymać dotację tylko z jednego biura Urzędu m.st. Warszawy lub Urzędu dzielnicy m.st. Warszawy. </w:t>
      </w:r>
    </w:p>
    <w:p w14:paraId="174AA441" w14:textId="77777777" w:rsidR="00E74EA0" w:rsidRPr="00C15C0F" w:rsidRDefault="00BF2EEC" w:rsidP="00C15C0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Style w:val="Pogrubienie"/>
          <w:rFonts w:cstheme="minorHAnsi"/>
          <w:b w:val="0"/>
        </w:rPr>
        <w:t>Oferty, które nie spełnią wymogów formalnych, nie będą podlegać rozpatrywaniu pod względem merytorycznym.</w:t>
      </w:r>
    </w:p>
    <w:p w14:paraId="258C2037" w14:textId="77777777" w:rsidR="00E74EA0" w:rsidRPr="00C15C0F" w:rsidRDefault="00BF2EEC" w:rsidP="00C15C0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Prezydent m.st. Warszawy zastrzega sobie prawo do:</w:t>
      </w:r>
    </w:p>
    <w:p w14:paraId="0BBCA637" w14:textId="77777777" w:rsidR="00E74EA0" w:rsidRPr="00C15C0F" w:rsidRDefault="00BF2EEC" w:rsidP="00C15C0F">
      <w:pPr>
        <w:pStyle w:val="Akapitzlist"/>
        <w:numPr>
          <w:ilvl w:val="0"/>
          <w:numId w:val="4"/>
        </w:numPr>
        <w:tabs>
          <w:tab w:val="clear" w:pos="72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odstąpienia od ogłoszenia wyników otwartego konkursu ofert, bez podania przyczyny, w części lub w całości;</w:t>
      </w:r>
    </w:p>
    <w:p w14:paraId="5F41435A" w14:textId="77777777" w:rsidR="00E74EA0" w:rsidRPr="00C15C0F" w:rsidRDefault="00BF2EEC" w:rsidP="00C15C0F">
      <w:pPr>
        <w:pStyle w:val="Akapitzlist"/>
        <w:numPr>
          <w:ilvl w:val="0"/>
          <w:numId w:val="4"/>
        </w:numPr>
        <w:tabs>
          <w:tab w:val="clear" w:pos="72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zwiększenia wysokości środków publicznych przeznaczonych na realizację zadania w trakcie trwania konkursu;</w:t>
      </w:r>
    </w:p>
    <w:p w14:paraId="65C1B673" w14:textId="77777777" w:rsidR="00E74EA0" w:rsidRPr="00C15C0F" w:rsidRDefault="00BF2EEC" w:rsidP="00C15C0F">
      <w:pPr>
        <w:pStyle w:val="Akapitzlist"/>
        <w:numPr>
          <w:ilvl w:val="0"/>
          <w:numId w:val="4"/>
        </w:numPr>
        <w:tabs>
          <w:tab w:val="clear" w:pos="72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wyboru jednej oferty lub żadnej z ofert;</w:t>
      </w:r>
    </w:p>
    <w:p w14:paraId="5381430D" w14:textId="77777777" w:rsidR="00E74EA0" w:rsidRPr="00C15C0F" w:rsidRDefault="00BF2EEC" w:rsidP="00C15C0F">
      <w:pPr>
        <w:pStyle w:val="Akapitzlist"/>
        <w:numPr>
          <w:ilvl w:val="0"/>
          <w:numId w:val="4"/>
        </w:numPr>
        <w:tabs>
          <w:tab w:val="clear" w:pos="72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zmniejszenia wysokości wnioskowanej dotacji.</w:t>
      </w:r>
    </w:p>
    <w:p w14:paraId="20F62B6E" w14:textId="77777777" w:rsidR="00E74EA0" w:rsidRPr="00C15C0F" w:rsidRDefault="00BF2EEC" w:rsidP="00C15C0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Prezydent m.st. Warszawy zastrzega sobie prawo do publicznego udostępniania w tzw. księdze dotacji informacji zawartych przez oferenta w pkt. III.3 oferty tj. „</w:t>
      </w:r>
      <w:r w:rsidRPr="00C15C0F">
        <w:rPr>
          <w:rFonts w:asciiTheme="minorHAnsi" w:hAnsiTheme="minorHAnsi"/>
          <w:bCs/>
        </w:rPr>
        <w:t>Syntetycznym opisie zadania</w:t>
      </w:r>
      <w:r w:rsidRPr="00C15C0F">
        <w:rPr>
          <w:rFonts w:asciiTheme="minorHAnsi" w:hAnsiTheme="minorHAnsi"/>
        </w:rPr>
        <w:t>”.</w:t>
      </w:r>
    </w:p>
    <w:p w14:paraId="1EECEF68" w14:textId="77777777" w:rsidR="00E74EA0" w:rsidRPr="00C15C0F" w:rsidRDefault="00BF2EEC" w:rsidP="00C15C0F">
      <w:pPr>
        <w:rPr>
          <w:rFonts w:asciiTheme="minorHAnsi" w:hAnsiTheme="minorHAnsi"/>
        </w:rPr>
      </w:pPr>
      <w:r w:rsidRPr="00C15C0F">
        <w:rPr>
          <w:rFonts w:asciiTheme="minorHAnsi" w:hAnsiTheme="minorHAnsi"/>
        </w:rPr>
        <w:t>§ 3. Warunki realizacji zadania publicznego:</w:t>
      </w:r>
    </w:p>
    <w:p w14:paraId="02A93776" w14:textId="77777777" w:rsidR="00E74EA0" w:rsidRPr="00C15C0F" w:rsidRDefault="00BF2EEC" w:rsidP="00C15C0F">
      <w:pPr>
        <w:numPr>
          <w:ilvl w:val="0"/>
          <w:numId w:val="10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Zadanie przedstawione w ofercie może być realizowane wspólnie przez kilku oferentów, jeżeli oferta została złożona wspólnie, zgodnie z art. 14 ust. 2-5 ustawy z dnia 24 kwietnia 2003 roku o działalności pożytku publicznego i o wolontariacie. W przypadku realizowania zadania wspólnie - oferenci odpowiadają solidarnie za realizację zadania.</w:t>
      </w:r>
    </w:p>
    <w:p w14:paraId="30C152B4" w14:textId="77777777" w:rsidR="00E74EA0" w:rsidRPr="00C15C0F" w:rsidRDefault="00BF2EEC" w:rsidP="00C15C0F">
      <w:pPr>
        <w:numPr>
          <w:ilvl w:val="0"/>
          <w:numId w:val="10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Nie dopuszcza się pobierania świadczeń pieniężnych od odbiorców zadania publicznego.</w:t>
      </w:r>
    </w:p>
    <w:p w14:paraId="038E9D03" w14:textId="77777777" w:rsidR="00E74EA0" w:rsidRPr="00C15C0F" w:rsidRDefault="00BF2EEC" w:rsidP="00C15C0F">
      <w:pPr>
        <w:numPr>
          <w:ilvl w:val="0"/>
          <w:numId w:val="10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 maja 2018 r. o ochronie danych osobowych oraz ustawy z dnia 27 sierpnia 2009 r. o finansach publicznych.</w:t>
      </w:r>
    </w:p>
    <w:p w14:paraId="112A2980" w14:textId="77777777" w:rsidR="00E74EA0" w:rsidRPr="00C15C0F" w:rsidRDefault="00BF2EEC" w:rsidP="00C15C0F">
      <w:pPr>
        <w:numPr>
          <w:ilvl w:val="0"/>
          <w:numId w:val="10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14:paraId="1986C9D3" w14:textId="77777777" w:rsidR="00E74EA0" w:rsidRPr="00C15C0F" w:rsidRDefault="00BF2EEC" w:rsidP="00C15C0F">
      <w:pPr>
        <w:numPr>
          <w:ilvl w:val="0"/>
          <w:numId w:val="10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Jeżeli dany wydatek wykazany w sprawozdaniu z realizacji zadania publicznego nie będzie równy odpowiedniemu kosztowi określonemu w umowie, to uznaje się go za zgodny z umową wtedy, gdy:</w:t>
      </w:r>
    </w:p>
    <w:p w14:paraId="62F97193" w14:textId="77777777" w:rsidR="00E74EA0" w:rsidRPr="00C15C0F" w:rsidRDefault="00BF2EEC" w:rsidP="00C15C0F">
      <w:pPr>
        <w:numPr>
          <w:ilvl w:val="0"/>
          <w:numId w:val="11"/>
        </w:numPr>
        <w:tabs>
          <w:tab w:val="clear" w:pos="0"/>
        </w:tabs>
        <w:spacing w:after="0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nie nastąpiło zwiększenie tego wydatku o więcej niż 25 % w części dotyczącej przyznanej dotacji,</w:t>
      </w:r>
    </w:p>
    <w:p w14:paraId="16871103" w14:textId="77777777" w:rsidR="00E74EA0" w:rsidRPr="00C15C0F" w:rsidRDefault="00BF2EEC" w:rsidP="00C15C0F">
      <w:pPr>
        <w:numPr>
          <w:ilvl w:val="0"/>
          <w:numId w:val="11"/>
        </w:numPr>
        <w:tabs>
          <w:tab w:val="clear" w:pos="0"/>
        </w:tabs>
        <w:spacing w:after="0"/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nastąpiło jego zmniejszenie w dowolnej wysokości.</w:t>
      </w:r>
    </w:p>
    <w:p w14:paraId="56A45630" w14:textId="77777777" w:rsidR="00E74EA0" w:rsidRPr="00C15C0F" w:rsidRDefault="00BF2EEC" w:rsidP="00C15C0F">
      <w:pPr>
        <w:numPr>
          <w:ilvl w:val="0"/>
          <w:numId w:val="10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Naruszenie postanowienia, o którym mowa w ust. 5, uważa się za pobranie części dotacji </w:t>
      </w:r>
      <w:r w:rsidRPr="00C15C0F">
        <w:rPr>
          <w:rFonts w:asciiTheme="minorHAnsi" w:hAnsiTheme="minorHAnsi"/>
        </w:rPr>
        <w:br/>
        <w:t>w nadmiernej wysokości.</w:t>
      </w:r>
    </w:p>
    <w:p w14:paraId="798B4ED1" w14:textId="77777777" w:rsidR="00E74EA0" w:rsidRPr="00C15C0F" w:rsidRDefault="00BF2EEC" w:rsidP="00C15C0F">
      <w:pPr>
        <w:pStyle w:val="Akapitzlist"/>
        <w:numPr>
          <w:ilvl w:val="0"/>
          <w:numId w:val="10"/>
        </w:numPr>
        <w:tabs>
          <w:tab w:val="clear" w:pos="0"/>
        </w:tabs>
        <w:ind w:left="284" w:hanging="284"/>
      </w:pPr>
      <w:r w:rsidRPr="00C15C0F">
        <w:lastRenderedPageBreak/>
        <w:t xml:space="preserve">W celu ochrony środowiska naturalnego przed negatywnymi skutkami użycia przedmiotów jednorazowego użytku wykonanych z tworzyw sztucznych w </w:t>
      </w:r>
      <w:r w:rsidRPr="00C15C0F">
        <w:rPr>
          <w:bCs/>
        </w:rPr>
        <w:t>umowie o wsparcie bądź powierzenie realizacji zadania publicznego</w:t>
      </w:r>
      <w:r w:rsidRPr="00C15C0F">
        <w:t xml:space="preserve"> Zleceniobiorca zobowiązany będzie do:</w:t>
      </w:r>
    </w:p>
    <w:p w14:paraId="705BB0E4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wyeliminowania z użycia przy wykonywaniu umowy jednorazowych talerzy, sztućców, kubeczków, mieszadełek, patyczków, słomek i pojemników na żywność wykonanych z 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089E1C88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podawania poczęstunku bez używania jednorazowych talerzy, sztućców, kubeczków, mieszadełek, patyczków, słomek i pojemników na żywność wykonanych z poliolefinowych tworzyw sztucznych;</w:t>
      </w:r>
    </w:p>
    <w:p w14:paraId="34B95111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podawania wody lub innych napojów w opakowaniach wielokrotnego użytku lub w butelkach zwrotnych;</w:t>
      </w:r>
    </w:p>
    <w:p w14:paraId="4467D3D7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podawania do spożycia wody z kranu, jeśli spełnione są wynikające z przepisów prawa wymagania dotyczące jakości wody przeznaczonej do spożycia przez ludzi;</w:t>
      </w:r>
    </w:p>
    <w:p w14:paraId="5E36B0B3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wykorzystywania przy wykonywaniu umowy materiałów, które pochodzą lub podlegają procesowi recyklingu;</w:t>
      </w:r>
    </w:p>
    <w:p w14:paraId="7325BBCF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rezygnacji z używania jednorazowych opakowań, toreb, siatek i reklamówek wykonanych z poliolefinowych tworzyw sztucznych;</w:t>
      </w:r>
    </w:p>
    <w:p w14:paraId="09A2ECEA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nieużywania balonów wraz z patyczkami plastikowymi;</w:t>
      </w:r>
    </w:p>
    <w:p w14:paraId="4A677219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ind w:left="567" w:hanging="284"/>
      </w:pPr>
      <w:r w:rsidRPr="00C15C0F">
        <w:t>niewypuszczania lampionów;</w:t>
      </w:r>
    </w:p>
    <w:p w14:paraId="7D90FF8C" w14:textId="77777777" w:rsidR="00E74EA0" w:rsidRPr="00C15C0F" w:rsidRDefault="00BF2EEC" w:rsidP="00C15C0F">
      <w:pPr>
        <w:pStyle w:val="Akapitzlist"/>
        <w:numPr>
          <w:ilvl w:val="1"/>
          <w:numId w:val="10"/>
        </w:numPr>
        <w:tabs>
          <w:tab w:val="clear" w:pos="0"/>
        </w:tabs>
        <w:spacing w:after="0"/>
        <w:ind w:left="568" w:hanging="284"/>
        <w:contextualSpacing w:val="0"/>
      </w:pPr>
      <w:r w:rsidRPr="00C15C0F">
        <w:t>nieużywania sztucznych ogni i petard.</w:t>
      </w:r>
    </w:p>
    <w:p w14:paraId="3EA88F3A" w14:textId="77777777" w:rsidR="00E74EA0" w:rsidRPr="00C15C0F" w:rsidRDefault="00BF2EEC" w:rsidP="00C15C0F">
      <w:pPr>
        <w:numPr>
          <w:ilvl w:val="0"/>
          <w:numId w:val="10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Przy wykonywaniu zadania publicznego Zleceniobiorca kieruje się zasadą równości, w szczególności dba o równe traktowanie wszystkich uczestników zadania publicznego.</w:t>
      </w:r>
    </w:p>
    <w:p w14:paraId="638B772A" w14:textId="77777777" w:rsidR="00E74EA0" w:rsidRPr="00C15C0F" w:rsidRDefault="00BF2EEC" w:rsidP="00C15C0F">
      <w:pPr>
        <w:pStyle w:val="Akapitzlist"/>
        <w:numPr>
          <w:ilvl w:val="0"/>
          <w:numId w:val="10"/>
        </w:numPr>
        <w:tabs>
          <w:tab w:val="clear" w:pos="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  <w:lang w:eastAsia="pl-PL"/>
        </w:rPr>
        <w:t xml:space="preserve">Informujemy, że </w:t>
      </w:r>
      <w:r w:rsidRPr="00C15C0F">
        <w:rPr>
          <w:rFonts w:asciiTheme="minorHAnsi" w:hAnsiTheme="minorHAnsi"/>
        </w:rPr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C15C0F">
        <w:rPr>
          <w:rFonts w:asciiTheme="minorHAnsi" w:hAnsiTheme="minorHAnsi"/>
          <w:lang w:eastAsia="pl-PL"/>
        </w:rPr>
        <w:t xml:space="preserve"> </w:t>
      </w:r>
      <w:r w:rsidRPr="00C15C0F">
        <w:rPr>
          <w:rFonts w:asciiTheme="minorHAnsi" w:hAnsiTheme="minorHAnsi"/>
        </w:rPr>
        <w:t>Procedura ta dostępna jest w Biuletynie Informacji Publicznej m.st. Warszawy nowy.bip.um.warszawa.pl oraz na stronie um.warszawa.pl/waw/ngo w zakładce otwarte konkursy ofert.</w:t>
      </w:r>
    </w:p>
    <w:p w14:paraId="786770F4" w14:textId="77777777" w:rsidR="00E74EA0" w:rsidRPr="00C15C0F" w:rsidRDefault="00BF2EEC" w:rsidP="00C15C0F">
      <w:pPr>
        <w:rPr>
          <w:rFonts w:asciiTheme="minorHAnsi" w:hAnsiTheme="minorHAnsi"/>
        </w:rPr>
      </w:pPr>
      <w:r w:rsidRPr="00C15C0F">
        <w:rPr>
          <w:rFonts w:asciiTheme="minorHAnsi" w:hAnsiTheme="minorHAnsi"/>
        </w:rPr>
        <w:t>§ 4. Składanie ofert</w:t>
      </w:r>
    </w:p>
    <w:p w14:paraId="336533A8" w14:textId="79310930" w:rsidR="00E74EA0" w:rsidRPr="00C15C0F" w:rsidRDefault="00BF2EEC" w:rsidP="00C15C0F">
      <w:pPr>
        <w:pStyle w:val="Akapitzlist"/>
        <w:numPr>
          <w:ilvl w:val="0"/>
          <w:numId w:val="9"/>
        </w:numPr>
        <w:tabs>
          <w:tab w:val="clear" w:pos="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hyperlink r:id="rId11">
        <w:r w:rsidRPr="00C15C0F">
          <w:rPr>
            <w:rStyle w:val="czeinternetowe"/>
            <w:rFonts w:cstheme="minorHAnsi"/>
            <w:color w:val="auto"/>
          </w:rPr>
          <w:t>https://www.witkac.pl</w:t>
        </w:r>
      </w:hyperlink>
      <w:r w:rsidRPr="00C15C0F">
        <w:rPr>
          <w:rFonts w:asciiTheme="minorHAnsi" w:hAnsiTheme="minorHAnsi"/>
        </w:rPr>
        <w:t xml:space="preserve"> </w:t>
      </w:r>
      <w:r w:rsidR="0052739F">
        <w:rPr>
          <w:rFonts w:asciiTheme="minorHAnsi" w:hAnsiTheme="minorHAnsi"/>
        </w:rPr>
        <w:t>do 1 sierpnia</w:t>
      </w:r>
      <w:r w:rsidRPr="00C15C0F">
        <w:rPr>
          <w:rFonts w:asciiTheme="minorHAnsi" w:hAnsiTheme="minorHAnsi"/>
        </w:rPr>
        <w:t xml:space="preserve"> 2025 roku do godz. 16.00.</w:t>
      </w:r>
    </w:p>
    <w:p w14:paraId="4C7B86FA" w14:textId="104442CA" w:rsidR="00E74EA0" w:rsidRPr="00C15C0F" w:rsidRDefault="00BF2EEC" w:rsidP="00C15C0F">
      <w:pPr>
        <w:pStyle w:val="Akapitzlist"/>
        <w:numPr>
          <w:ilvl w:val="0"/>
          <w:numId w:val="9"/>
        </w:numPr>
        <w:tabs>
          <w:tab w:val="clear" w:pos="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Oferty złożone w Generatorze Wniosków nie mogą być uzupełniane ani anulowane. W przypadku chęci wycofania oferty złożonej w Generatorze Wniosków, należy dostarczyć do biura podpisane przez osoby upoważnione oświadczenie</w:t>
      </w:r>
      <w:r w:rsidR="00C15C0F">
        <w:rPr>
          <w:rFonts w:asciiTheme="minorHAnsi" w:hAnsiTheme="minorHAnsi"/>
        </w:rPr>
        <w:t xml:space="preserve"> o wycofaniu oferty.</w:t>
      </w:r>
    </w:p>
    <w:p w14:paraId="39F60195" w14:textId="77777777" w:rsidR="00E74EA0" w:rsidRPr="00C15C0F" w:rsidRDefault="00BF2EEC" w:rsidP="00C15C0F">
      <w:pPr>
        <w:pStyle w:val="Akapitzlist"/>
        <w:numPr>
          <w:ilvl w:val="0"/>
          <w:numId w:val="9"/>
        </w:numPr>
        <w:tabs>
          <w:tab w:val="clear" w:pos="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Przed złożeniem oferty w Generatorze Wniosków pracownicy Biura Pomocy i Projektów Społecznych Urzędu m.st. Warszawy udzielają oferentom stosownych wyjaśnień, dotyczących </w:t>
      </w:r>
      <w:r w:rsidRPr="00C15C0F">
        <w:rPr>
          <w:rFonts w:asciiTheme="minorHAnsi" w:hAnsiTheme="minorHAnsi"/>
        </w:rPr>
        <w:lastRenderedPageBreak/>
        <w:t>zadań konkursowych oraz wymogów formalnych (</w:t>
      </w:r>
      <w:r w:rsidRPr="00C15C0F">
        <w:rPr>
          <w:rFonts w:asciiTheme="minorHAnsi" w:hAnsiTheme="minorHAnsi"/>
          <w:bCs/>
        </w:rPr>
        <w:t>Marek Wilczyński, mwilczynski@um.warszawa.pl, telefon: 22 443 1477</w:t>
      </w:r>
      <w:r w:rsidRPr="00C15C0F">
        <w:rPr>
          <w:rFonts w:asciiTheme="minorHAnsi" w:hAnsiTheme="minorHAnsi"/>
        </w:rPr>
        <w:t>, od poniedziałku do piątku w godz. 8.00 – 16.00).</w:t>
      </w:r>
    </w:p>
    <w:p w14:paraId="2DA78606" w14:textId="77777777" w:rsidR="00E74EA0" w:rsidRPr="00C15C0F" w:rsidRDefault="00BF2EEC" w:rsidP="00C15C0F">
      <w:pPr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§ 5. Wymagana dokumentacja </w:t>
      </w:r>
    </w:p>
    <w:p w14:paraId="0ECD664E" w14:textId="77777777" w:rsidR="00E74EA0" w:rsidRPr="00C15C0F" w:rsidRDefault="00BF2EEC" w:rsidP="00C15C0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  <w:b/>
        </w:rPr>
        <w:t>Obligatoryjnie</w:t>
      </w:r>
      <w:r w:rsidRPr="00C15C0F">
        <w:rPr>
          <w:rFonts w:asciiTheme="minorHAnsi" w:hAnsiTheme="minorHAnsi"/>
        </w:rPr>
        <w:t xml:space="preserve"> należy złożyć:</w:t>
      </w:r>
    </w:p>
    <w:p w14:paraId="78DA74CE" w14:textId="77777777" w:rsidR="00E74EA0" w:rsidRPr="00C15C0F" w:rsidRDefault="00BF2EEC" w:rsidP="00C15C0F">
      <w:pPr>
        <w:pStyle w:val="Akapitzlist"/>
        <w:numPr>
          <w:ilvl w:val="0"/>
          <w:numId w:val="5"/>
        </w:numPr>
        <w:tabs>
          <w:tab w:val="clear" w:pos="72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6FC0050F" w14:textId="77777777" w:rsidR="00E74EA0" w:rsidRPr="00C15C0F" w:rsidRDefault="00BF2EEC" w:rsidP="00C15C0F">
      <w:pPr>
        <w:pStyle w:val="Akapitzlist"/>
        <w:numPr>
          <w:ilvl w:val="0"/>
          <w:numId w:val="5"/>
        </w:numPr>
        <w:tabs>
          <w:tab w:val="clear" w:pos="72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kopię umowy lub statutu spółki - w przypadku gdy oferent jest spółką prawa handlowego, o której mowa w art. 3 ust. 3 pkt 4 ustawy z dnia 24 kwietnia 2003 r. o działalności pożytku publicznego i o wolontariacie.</w:t>
      </w:r>
    </w:p>
    <w:p w14:paraId="348F04F7" w14:textId="77777777" w:rsidR="00E74EA0" w:rsidRPr="00C15C0F" w:rsidRDefault="00BF2EEC" w:rsidP="00C15C0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/>
          <w:bCs/>
        </w:rPr>
      </w:pPr>
      <w:r w:rsidRPr="00C15C0F">
        <w:rPr>
          <w:rFonts w:asciiTheme="minorHAnsi" w:hAnsiTheme="minorHAnsi"/>
          <w:bCs/>
        </w:rPr>
        <w:t xml:space="preserve">Załączniki należy złożyć w formie elektronicznej za pośrednictwem </w:t>
      </w:r>
      <w:r w:rsidRPr="00C15C0F">
        <w:rPr>
          <w:rFonts w:asciiTheme="minorHAnsi" w:hAnsiTheme="minorHAnsi"/>
        </w:rPr>
        <w:t>Generatora Wniosków dodając je do składanej oferty.</w:t>
      </w:r>
    </w:p>
    <w:p w14:paraId="6DBE3C96" w14:textId="77777777" w:rsidR="00E74EA0" w:rsidRPr="00C15C0F" w:rsidRDefault="00BF2EEC" w:rsidP="00C15C0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Poza załącznikami wymienionymi w ust. 1, oferent może dołączyć rekomendacje i opinie oraz dokumenty świadczące o przeprowadzonej diagnozie sytuacji np. badania, ankiety, opracowania.</w:t>
      </w:r>
    </w:p>
    <w:p w14:paraId="362743EC" w14:textId="77777777" w:rsidR="00E74EA0" w:rsidRPr="00C15C0F" w:rsidRDefault="00BF2EEC" w:rsidP="00C15C0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W przypadku, gdy oferta składana jest przez więcej niż jednego oferenta, każdy z oferentów zobowiązany jest do załączenia wszystkich dokumentów wymienionych w ust. 1 pkt 1–2.</w:t>
      </w:r>
    </w:p>
    <w:p w14:paraId="1B659146" w14:textId="77777777" w:rsidR="00E74EA0" w:rsidRPr="00C15C0F" w:rsidRDefault="00BF2EEC" w:rsidP="00C15C0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Oferent zobowiązany jest w terminie do 15 dni roboczych od daty otrzymania powiadomienia o przyznaniu dotacji, przesłać informację o przyjęciu bądź nieprzyjęciu dotacji wraz z podaniem terminu przesłania dokumentów niezbędnych do przygotowania projektu umowy o wsparcie bądź powierzenie realizacji zadania publicznego, w tym:</w:t>
      </w:r>
    </w:p>
    <w:p w14:paraId="2282EA6C" w14:textId="77777777" w:rsidR="00E74EA0" w:rsidRPr="00C15C0F" w:rsidRDefault="00BF2EEC" w:rsidP="00C15C0F">
      <w:pPr>
        <w:pStyle w:val="Akapitzlist"/>
        <w:numPr>
          <w:ilvl w:val="0"/>
          <w:numId w:val="6"/>
        </w:numPr>
        <w:tabs>
          <w:tab w:val="clear" w:pos="36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prawidłowo podpisane oświadczenie przyjęcia dotacji (Za prawidłowe podpisy zostaną uznane podpisy z pieczęcią imienną, a w przypadku braku pieczątki – czytelny podpis lub wydruk imienia i nazwiska, opatrzony podpisem, umożliwiający weryfikację osób podpisujących oświadczenie zgodnie z Krajowym Rejestrem Sądowym, aktualnym wyciągiem z właściwego rejestru lub ewidencji, ewentualnie innym dokumentem potwierdzającym umocowanie do podpisania umowy w imieniu oferenta. Złożenie jedynie parafy nie jest wystarczające do uznania, iż oświadczenie zostało prawidłowo podpisane).</w:t>
      </w:r>
    </w:p>
    <w:p w14:paraId="1367E95C" w14:textId="77777777" w:rsidR="00E74EA0" w:rsidRPr="00C15C0F" w:rsidRDefault="00BF2EEC" w:rsidP="00C15C0F">
      <w:pPr>
        <w:pStyle w:val="Akapitzlist"/>
        <w:numPr>
          <w:ilvl w:val="0"/>
          <w:numId w:val="6"/>
        </w:numPr>
        <w:tabs>
          <w:tab w:val="clear" w:pos="36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zaktualizowanej oferty, stanowiącej załącznik do umowy, potwierdzenia aktualności danych oferenta zawartych w ofercie, niezbędnych do przygotowania umowy,</w:t>
      </w:r>
    </w:p>
    <w:p w14:paraId="147023C6" w14:textId="77777777" w:rsidR="00E74EA0" w:rsidRPr="00C15C0F" w:rsidRDefault="00BF2EEC" w:rsidP="00C15C0F">
      <w:pPr>
        <w:pStyle w:val="Akapitzlist"/>
        <w:numPr>
          <w:ilvl w:val="0"/>
          <w:numId w:val="6"/>
        </w:numPr>
        <w:tabs>
          <w:tab w:val="clear" w:pos="36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  <w:bCs/>
        </w:rPr>
        <w:t>dokumentu poświadczającego tytuł prawny do zajmowanego lokalu - np. umowę najmu - którego okres nie wygasa przed zakończeniem realizacji zadania.</w:t>
      </w:r>
    </w:p>
    <w:p w14:paraId="2D1922FF" w14:textId="77777777" w:rsidR="00E74EA0" w:rsidRPr="00C15C0F" w:rsidRDefault="00BF2EEC" w:rsidP="00C15C0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Nieprzesłanie informacji oraz dokumentów, o których mowa w ust. 5, tożsame jest z nieprzyjęciem dotacji przez oferenta. Istnieje możliwość przesunięcia terminu złożenia dokumentów po uzyskaniu zgody Biura Pomocy i Projektów Społecznych Urzędu m.st. Warszawy.</w:t>
      </w:r>
    </w:p>
    <w:p w14:paraId="38604FBA" w14:textId="77777777" w:rsidR="00E74EA0" w:rsidRPr="00C15C0F" w:rsidRDefault="00BF2EEC" w:rsidP="00C15C0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Oferenci, którzy planują realizację zadania publicznego w lokalu użytkowym z zasobów m.st. Warszawy zobligowani są do przesłania wraz z dokumentami, o których mowa w ust. 5 pkt 1–2 następujących danych:</w:t>
      </w:r>
    </w:p>
    <w:p w14:paraId="61DF6A29" w14:textId="77777777" w:rsidR="00E74EA0" w:rsidRPr="00C15C0F" w:rsidRDefault="00BF2EEC" w:rsidP="00C15C0F">
      <w:pPr>
        <w:pStyle w:val="Akapitzlist"/>
        <w:numPr>
          <w:ilvl w:val="0"/>
          <w:numId w:val="7"/>
        </w:numPr>
        <w:tabs>
          <w:tab w:val="clear" w:pos="70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adres lokalu użytkowego z zasobów m.st. Warszawy, w którym realizowane będzie zadanie publiczne;</w:t>
      </w:r>
    </w:p>
    <w:p w14:paraId="52F88DB2" w14:textId="77777777" w:rsidR="00E74EA0" w:rsidRPr="00C15C0F" w:rsidRDefault="00BF2EEC" w:rsidP="00C15C0F">
      <w:pPr>
        <w:pStyle w:val="Akapitzlist"/>
        <w:numPr>
          <w:ilvl w:val="0"/>
          <w:numId w:val="7"/>
        </w:numPr>
        <w:tabs>
          <w:tab w:val="clear" w:pos="70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lastRenderedPageBreak/>
        <w:t>powierzchnia podstawowa lokalu użytkowego;</w:t>
      </w:r>
    </w:p>
    <w:p w14:paraId="2460C799" w14:textId="77777777" w:rsidR="00E74EA0" w:rsidRPr="00C15C0F" w:rsidRDefault="00BF2EEC" w:rsidP="00C15C0F">
      <w:pPr>
        <w:pStyle w:val="Akapitzlist"/>
        <w:numPr>
          <w:ilvl w:val="0"/>
          <w:numId w:val="7"/>
        </w:numPr>
        <w:tabs>
          <w:tab w:val="clear" w:pos="70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powierzchnia dodatkowa lokalu użytkowego;</w:t>
      </w:r>
    </w:p>
    <w:p w14:paraId="2FD5FB92" w14:textId="77777777" w:rsidR="00E74EA0" w:rsidRPr="00C15C0F" w:rsidRDefault="00BF2EEC" w:rsidP="00C15C0F">
      <w:pPr>
        <w:pStyle w:val="Akapitzlist"/>
        <w:numPr>
          <w:ilvl w:val="0"/>
          <w:numId w:val="7"/>
        </w:numPr>
        <w:tabs>
          <w:tab w:val="clear" w:pos="70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powierzchnia lokalu użytkowego przeznaczoną na realizację zadania publicznego (z podziałem na powierzchnię podstawową i dodatkową).</w:t>
      </w:r>
    </w:p>
    <w:p w14:paraId="3F20D25A" w14:textId="77777777" w:rsidR="00E74EA0" w:rsidRPr="00C15C0F" w:rsidRDefault="00BF2EEC" w:rsidP="00C15C0F">
      <w:pPr>
        <w:rPr>
          <w:rFonts w:asciiTheme="minorHAnsi" w:hAnsiTheme="minorHAnsi"/>
        </w:rPr>
      </w:pPr>
      <w:r w:rsidRPr="00C15C0F">
        <w:rPr>
          <w:rFonts w:asciiTheme="minorHAnsi" w:hAnsiTheme="minorHAnsi"/>
        </w:rPr>
        <w:t>§ 6. Tryb i kryteria stosowane przy wyborze ofert oraz termin dokonania wyboru ofert</w:t>
      </w:r>
    </w:p>
    <w:p w14:paraId="69329704" w14:textId="77777777" w:rsidR="00E74EA0" w:rsidRPr="00C15C0F" w:rsidRDefault="00BF2EEC" w:rsidP="00C15C0F">
      <w:pPr>
        <w:numPr>
          <w:ilvl w:val="0"/>
          <w:numId w:val="12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Złożone oferty podlegać będą ocenie formalnej zgodnie z kryteriami wskazanymi w Karcie Oceny Formalnej Oferty, której wzór stanowi załącznik nr 1 do niniejszego ogłoszenia. </w:t>
      </w:r>
    </w:p>
    <w:p w14:paraId="54D869DD" w14:textId="77777777" w:rsidR="00E74EA0" w:rsidRPr="00C15C0F" w:rsidRDefault="00BF2EEC" w:rsidP="00C15C0F">
      <w:pPr>
        <w:numPr>
          <w:ilvl w:val="0"/>
          <w:numId w:val="12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Oceny merytorycznej złożonych ofert dokona komisja konkursowa do opiniowania ofert. Wzór Protokołu Oceny Oferty stanowi załącznik nr 2 do niniejszego ogłoszenia.</w:t>
      </w:r>
    </w:p>
    <w:p w14:paraId="0D623554" w14:textId="77777777" w:rsidR="00E74EA0" w:rsidRPr="00C15C0F" w:rsidRDefault="00BF2EEC" w:rsidP="00C15C0F">
      <w:pPr>
        <w:numPr>
          <w:ilvl w:val="0"/>
          <w:numId w:val="12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Członkowie komisji konkursowej do opiniowania ofert ocenią każdą ofertę, która spełniła wymagania formalne, wypełniając Indywidualną Kartę Oceny Oferty, której wzór stanowi załącznik nr 3 do niniejszego ogłoszenia.</w:t>
      </w:r>
    </w:p>
    <w:p w14:paraId="0BA49C87" w14:textId="77777777" w:rsidR="00E74EA0" w:rsidRPr="00C15C0F" w:rsidRDefault="00BF2EEC" w:rsidP="00C15C0F">
      <w:pPr>
        <w:numPr>
          <w:ilvl w:val="0"/>
          <w:numId w:val="12"/>
        </w:numPr>
        <w:tabs>
          <w:tab w:val="clear" w:pos="0"/>
        </w:tabs>
        <w:spacing w:after="0"/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Po ocenie merytorycznej złożonych ofert rekomendacje co do wyboru ofert przedkładane są Prezydentowi m.st. Warszawy.</w:t>
      </w:r>
    </w:p>
    <w:p w14:paraId="4515A5AF" w14:textId="5306EE8B" w:rsidR="00E74EA0" w:rsidRPr="00C15C0F" w:rsidRDefault="00BF2EEC" w:rsidP="00C15C0F">
      <w:pPr>
        <w:numPr>
          <w:ilvl w:val="0"/>
          <w:numId w:val="12"/>
        </w:numPr>
        <w:tabs>
          <w:tab w:val="clear" w:pos="0"/>
        </w:tabs>
        <w:spacing w:after="0"/>
        <w:ind w:left="284" w:hanging="284"/>
        <w:rPr>
          <w:rFonts w:asciiTheme="minorHAnsi" w:hAnsiTheme="minorHAnsi"/>
          <w:b/>
        </w:rPr>
      </w:pPr>
      <w:r w:rsidRPr="00C15C0F">
        <w:rPr>
          <w:rFonts w:asciiTheme="minorHAnsi" w:hAnsiTheme="minorHAnsi"/>
        </w:rPr>
        <w:t xml:space="preserve">Ogłoszenia wyników otwartego konkursu ofert dokonuje Prezydent m.st. Warszawy w drodze zarządzenia, </w:t>
      </w:r>
      <w:r w:rsidR="00105571" w:rsidRPr="00C15C0F">
        <w:rPr>
          <w:rFonts w:asciiTheme="minorHAnsi" w:hAnsiTheme="minorHAnsi"/>
        </w:rPr>
        <w:t>w terminie nie później niż 6</w:t>
      </w:r>
      <w:r w:rsidRPr="00C15C0F">
        <w:rPr>
          <w:rFonts w:asciiTheme="minorHAnsi" w:hAnsiTheme="minorHAnsi"/>
        </w:rPr>
        <w:t>0 dni kalendarzowych od terminu zakończenia składania ofert, o którym mowa w § 4 ust. 1.</w:t>
      </w:r>
    </w:p>
    <w:p w14:paraId="6A81FEB7" w14:textId="77777777" w:rsidR="00E74EA0" w:rsidRPr="00C15C0F" w:rsidRDefault="00BF2EEC" w:rsidP="00C15C0F">
      <w:pPr>
        <w:numPr>
          <w:ilvl w:val="0"/>
          <w:numId w:val="12"/>
        </w:numPr>
        <w:tabs>
          <w:tab w:val="clear" w:pos="0"/>
        </w:tabs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Wyniki otwartego konkursu ofert zostaną podane do wiadomości publicznej (w Biuletynie Informacji Publicznej m.st. Warszawy, w miejscu przeznaczonym na zamieszczanie ogłoszeń oraz na stronie internetowej um.warszawa.pl/waw/ngo).</w:t>
      </w:r>
    </w:p>
    <w:p w14:paraId="1815B203" w14:textId="77777777" w:rsidR="00E74EA0" w:rsidRPr="00C15C0F" w:rsidRDefault="00BF2EEC" w:rsidP="00C15C0F">
      <w:pPr>
        <w:ind w:left="284" w:hanging="284"/>
        <w:rPr>
          <w:rFonts w:asciiTheme="minorHAnsi" w:hAnsiTheme="minorHAnsi"/>
        </w:rPr>
      </w:pPr>
      <w:r w:rsidRPr="00C15C0F">
        <w:rPr>
          <w:rFonts w:asciiTheme="minorHAnsi" w:hAnsiTheme="minorHAnsi"/>
        </w:rPr>
        <w:t>§ 7. Informacja o zrealizowanych przez m.st. Warszawę w roku ogłoszenia otwartego konkursu ofert i w roku poprzednim zadaniach publicznych tego samego rodzaju i związanych z nimi kosztami, ze szczególnym uwzględnieniem wysokości dotacji przekazanych organizacjom pozarządowym i podmiotom, o których mowa w art. 3 ust. 3 ustawy z dnia 24 kwietnia 2003 roku o działalności pożytku publicznego i o wolontariacie:</w:t>
      </w:r>
    </w:p>
    <w:p w14:paraId="135AD66A" w14:textId="77777777" w:rsidR="00E74EA0" w:rsidRPr="00C15C0F" w:rsidRDefault="00BF2EEC" w:rsidP="00C15C0F">
      <w:pPr>
        <w:pStyle w:val="Akapitzlist"/>
        <w:numPr>
          <w:ilvl w:val="0"/>
          <w:numId w:val="8"/>
        </w:numPr>
        <w:tabs>
          <w:tab w:val="clear" w:pos="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>Rodzaj zadania publicznego: Doposażenie i drobne prace remontowe związane z poprawą warunków lokalowych w funkcjonujących placówkach wsparcia dziennego i innych placówkach realizujących zadania z zakresu profilaktyki uzależnień na terenie m.st. Warszawy.</w:t>
      </w:r>
    </w:p>
    <w:p w14:paraId="1EE05243" w14:textId="77777777" w:rsidR="00E74EA0" w:rsidRPr="00C15C0F" w:rsidRDefault="00BF2EEC" w:rsidP="00C15C0F">
      <w:pPr>
        <w:pStyle w:val="Akapitzlist"/>
        <w:numPr>
          <w:ilvl w:val="0"/>
          <w:numId w:val="8"/>
        </w:numPr>
        <w:tabs>
          <w:tab w:val="clear" w:pos="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Wysokość dotacji w złotych w </w:t>
      </w:r>
      <w:r w:rsidRPr="00C15C0F">
        <w:rPr>
          <w:rFonts w:asciiTheme="minorHAnsi" w:hAnsiTheme="minorHAnsi"/>
          <w:b/>
          <w:bCs/>
        </w:rPr>
        <w:t xml:space="preserve">2024 r.: </w:t>
      </w:r>
      <w:r w:rsidRPr="00C15C0F">
        <w:rPr>
          <w:rFonts w:asciiTheme="minorHAnsi" w:hAnsiTheme="minorHAnsi"/>
          <w:b/>
        </w:rPr>
        <w:t xml:space="preserve">0,00 </w:t>
      </w:r>
      <w:r w:rsidRPr="00C15C0F">
        <w:rPr>
          <w:rFonts w:asciiTheme="minorHAnsi" w:hAnsiTheme="minorHAnsi"/>
          <w:b/>
          <w:bCs/>
        </w:rPr>
        <w:t>zł</w:t>
      </w:r>
    </w:p>
    <w:p w14:paraId="1EC09F32" w14:textId="77777777" w:rsidR="00E74EA0" w:rsidRPr="00C15C0F" w:rsidRDefault="00BF2EEC" w:rsidP="00C15C0F">
      <w:pPr>
        <w:pStyle w:val="Akapitzlist"/>
        <w:numPr>
          <w:ilvl w:val="0"/>
          <w:numId w:val="8"/>
        </w:numPr>
        <w:tabs>
          <w:tab w:val="clear" w:pos="0"/>
        </w:tabs>
        <w:ind w:left="567" w:hanging="283"/>
        <w:rPr>
          <w:rFonts w:asciiTheme="minorHAnsi" w:hAnsiTheme="minorHAnsi"/>
        </w:rPr>
      </w:pPr>
      <w:r w:rsidRPr="00C15C0F">
        <w:rPr>
          <w:rFonts w:asciiTheme="minorHAnsi" w:hAnsiTheme="minorHAnsi"/>
        </w:rPr>
        <w:t xml:space="preserve">Wysokość dotacji w złotych w </w:t>
      </w:r>
      <w:r w:rsidRPr="00C15C0F">
        <w:rPr>
          <w:rFonts w:asciiTheme="minorHAnsi" w:hAnsiTheme="minorHAnsi"/>
          <w:b/>
          <w:bCs/>
        </w:rPr>
        <w:t>2025 r.: 0,00 zł</w:t>
      </w:r>
    </w:p>
    <w:sectPr w:rsidR="00E74EA0" w:rsidRPr="00C15C0F">
      <w:footerReference w:type="default" r:id="rId12"/>
      <w:pgSz w:w="11906" w:h="16838"/>
      <w:pgMar w:top="719" w:right="1417" w:bottom="1417" w:left="1418" w:header="0" w:footer="708" w:gutter="0"/>
      <w:pgNumType w:start="1"/>
      <w:cols w:space="708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908F" w14:textId="77777777" w:rsidR="00D16763" w:rsidRDefault="00BF2EEC">
      <w:pPr>
        <w:spacing w:after="0" w:line="240" w:lineRule="auto"/>
      </w:pPr>
      <w:r>
        <w:separator/>
      </w:r>
    </w:p>
  </w:endnote>
  <w:endnote w:type="continuationSeparator" w:id="0">
    <w:p w14:paraId="7260F20D" w14:textId="77777777" w:rsidR="00D16763" w:rsidRDefault="00BF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571466"/>
      <w:docPartObj>
        <w:docPartGallery w:val="Page Numbers (Bottom of Page)"/>
        <w:docPartUnique/>
      </w:docPartObj>
    </w:sdtPr>
    <w:sdtEndPr/>
    <w:sdtContent>
      <w:p w14:paraId="1646C25D" w14:textId="0BCF423B" w:rsidR="00E74EA0" w:rsidRDefault="00BF2EE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5C0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E9F3" w14:textId="77777777" w:rsidR="00D16763" w:rsidRDefault="00BF2EEC">
      <w:pPr>
        <w:spacing w:after="0" w:line="240" w:lineRule="auto"/>
      </w:pPr>
      <w:r>
        <w:separator/>
      </w:r>
    </w:p>
  </w:footnote>
  <w:footnote w:type="continuationSeparator" w:id="0">
    <w:p w14:paraId="5706B84D" w14:textId="77777777" w:rsidR="00D16763" w:rsidRDefault="00BF2EEC">
      <w:pPr>
        <w:spacing w:after="0" w:line="240" w:lineRule="auto"/>
      </w:pPr>
      <w:r>
        <w:continuationSeparator/>
      </w:r>
    </w:p>
  </w:footnote>
  <w:footnote w:id="1">
    <w:p w14:paraId="0B41603F" w14:textId="52A79BFD" w:rsidR="00456390" w:rsidRPr="00C15C0F" w:rsidRDefault="00456390" w:rsidP="00C15C0F">
      <w:pPr>
        <w:pStyle w:val="Tekstprzypisudolnego"/>
        <w:spacing w:after="0"/>
        <w:rPr>
          <w:rFonts w:asciiTheme="minorHAnsi" w:hAnsiTheme="minorHAnsi"/>
          <w:sz w:val="22"/>
        </w:rPr>
      </w:pPr>
      <w:r w:rsidRPr="00C15C0F">
        <w:rPr>
          <w:rStyle w:val="Odwoanieprzypisudolnego"/>
          <w:rFonts w:asciiTheme="minorHAnsi" w:hAnsiTheme="minorHAnsi"/>
          <w:sz w:val="22"/>
        </w:rPr>
        <w:footnoteRef/>
      </w:r>
      <w:r w:rsidRPr="00C15C0F">
        <w:rPr>
          <w:rFonts w:asciiTheme="minorHAnsi" w:hAnsiTheme="minorHAnsi"/>
          <w:sz w:val="22"/>
        </w:rPr>
        <w:t xml:space="preserve"> </w:t>
      </w:r>
      <w:r w:rsidR="00B43486" w:rsidRPr="00C15C0F">
        <w:rPr>
          <w:rFonts w:asciiTheme="minorHAnsi" w:hAnsiTheme="minorHAnsi"/>
          <w:sz w:val="22"/>
        </w:rPr>
        <w:t>Ogólna specyfikacja laptopów do obsługi BM2</w:t>
      </w:r>
      <w:r w:rsidRPr="00C15C0F">
        <w:rPr>
          <w:rFonts w:asciiTheme="minorHAnsi" w:hAnsiTheme="minorHAnsi"/>
          <w:sz w:val="22"/>
        </w:rPr>
        <w:t>: procesor Intel® Core™ i3 / i5 lub AMD Ryzen™ 5 3500U / Ryzen™ 3 5300U; pamięć RAM: 8–16 GB (DDR4 lub DDR5); dysk: SSD M.2 PCIe, pojemność 256–512 GB; ekran: matowy, LED, IPS, przekątna 15,6", rozdzielczość 1920 x 1080 (Full HD); dźwięk: wbudowane głośniki stereo oraz dwa mikrofony; kamera: HD; łączność: Wi-Fi 6E, Bluetooth 5.3; zabezpieczenia: szyfrowanie TPM; system o</w:t>
      </w:r>
      <w:r w:rsidR="00B43486" w:rsidRPr="00C15C0F">
        <w:rPr>
          <w:rFonts w:asciiTheme="minorHAnsi" w:hAnsiTheme="minorHAnsi"/>
          <w:sz w:val="22"/>
        </w:rPr>
        <w:t>peracyjny: Microsoft Windows 11, w zależności od konfiguracji orientacyjna cena – ok. </w:t>
      </w:r>
      <w:r w:rsidR="00B43486" w:rsidRPr="00C15C0F">
        <w:rPr>
          <w:rFonts w:asciiTheme="minorHAnsi" w:hAnsiTheme="minorHAnsi"/>
          <w:bCs/>
          <w:sz w:val="22"/>
        </w:rPr>
        <w:t xml:space="preserve">2500 zł.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25"/>
    <w:multiLevelType w:val="multilevel"/>
    <w:tmpl w:val="BCA472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F5016"/>
    <w:multiLevelType w:val="multilevel"/>
    <w:tmpl w:val="3F4A896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D703B8"/>
    <w:multiLevelType w:val="multilevel"/>
    <w:tmpl w:val="9D0A32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341FEE"/>
    <w:multiLevelType w:val="multilevel"/>
    <w:tmpl w:val="2460DA4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D36AFD"/>
    <w:multiLevelType w:val="multilevel"/>
    <w:tmpl w:val="5B34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A53917"/>
    <w:multiLevelType w:val="multilevel"/>
    <w:tmpl w:val="B4F6D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D521A9E"/>
    <w:multiLevelType w:val="multilevel"/>
    <w:tmpl w:val="C17C5F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0D0DB0"/>
    <w:multiLevelType w:val="hybridMultilevel"/>
    <w:tmpl w:val="B7EC5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8319E0"/>
    <w:multiLevelType w:val="multilevel"/>
    <w:tmpl w:val="AA143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9" w15:restartNumberingAfterBreak="0">
    <w:nsid w:val="2AF11EF3"/>
    <w:multiLevelType w:val="multilevel"/>
    <w:tmpl w:val="28ACC83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789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30A979FA"/>
    <w:multiLevelType w:val="multilevel"/>
    <w:tmpl w:val="96C6C6D8"/>
    <w:lvl w:ilvl="0">
      <w:start w:val="1"/>
      <w:numFmt w:val="bullet"/>
      <w:lvlText w:val=""/>
      <w:lvlJc w:val="left"/>
      <w:pPr>
        <w:tabs>
          <w:tab w:val="num" w:pos="0"/>
        </w:tabs>
        <w:ind w:left="24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320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7C3BCF"/>
    <w:multiLevelType w:val="multilevel"/>
    <w:tmpl w:val="6B64609C"/>
    <w:lvl w:ilvl="0">
      <w:start w:val="1"/>
      <w:numFmt w:val="lowerLetter"/>
      <w:lvlText w:val="%1."/>
      <w:lvlJc w:val="left"/>
      <w:pPr>
        <w:tabs>
          <w:tab w:val="num" w:pos="0"/>
        </w:tabs>
        <w:ind w:left="-2524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-18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1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7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236" w:hanging="180"/>
      </w:pPr>
    </w:lvl>
  </w:abstractNum>
  <w:abstractNum w:abstractNumId="12" w15:restartNumberingAfterBreak="0">
    <w:nsid w:val="3A016980"/>
    <w:multiLevelType w:val="multilevel"/>
    <w:tmpl w:val="3B326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40135D18"/>
    <w:multiLevelType w:val="multilevel"/>
    <w:tmpl w:val="502036B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3B77E2E"/>
    <w:multiLevelType w:val="multilevel"/>
    <w:tmpl w:val="1DE8C13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5" w15:restartNumberingAfterBreak="0">
    <w:nsid w:val="47F66F99"/>
    <w:multiLevelType w:val="multilevel"/>
    <w:tmpl w:val="03C4DD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1DA63C0"/>
    <w:multiLevelType w:val="multilevel"/>
    <w:tmpl w:val="FAE4AE76"/>
    <w:lvl w:ilvl="0">
      <w:start w:val="1"/>
      <w:numFmt w:val="bullet"/>
      <w:lvlText w:val=""/>
      <w:lvlJc w:val="left"/>
      <w:pPr>
        <w:tabs>
          <w:tab w:val="num" w:pos="0"/>
        </w:tabs>
        <w:ind w:left="24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AB76F9"/>
    <w:multiLevelType w:val="multilevel"/>
    <w:tmpl w:val="2666A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5E95986"/>
    <w:multiLevelType w:val="multilevel"/>
    <w:tmpl w:val="8BC0B1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304D36"/>
    <w:multiLevelType w:val="multilevel"/>
    <w:tmpl w:val="B4D6F7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082979"/>
    <w:multiLevelType w:val="multilevel"/>
    <w:tmpl w:val="8FE26C5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810B08"/>
    <w:multiLevelType w:val="multilevel"/>
    <w:tmpl w:val="B18CF4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BB17958"/>
    <w:multiLevelType w:val="multilevel"/>
    <w:tmpl w:val="CFFEC3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7130847">
    <w:abstractNumId w:val="5"/>
  </w:num>
  <w:num w:numId="2" w16cid:durableId="339431690">
    <w:abstractNumId w:val="18"/>
  </w:num>
  <w:num w:numId="3" w16cid:durableId="471605764">
    <w:abstractNumId w:val="4"/>
  </w:num>
  <w:num w:numId="4" w16cid:durableId="475150535">
    <w:abstractNumId w:val="8"/>
  </w:num>
  <w:num w:numId="5" w16cid:durableId="110636759">
    <w:abstractNumId w:val="12"/>
  </w:num>
  <w:num w:numId="6" w16cid:durableId="715854655">
    <w:abstractNumId w:val="22"/>
  </w:num>
  <w:num w:numId="7" w16cid:durableId="293096289">
    <w:abstractNumId w:val="14"/>
  </w:num>
  <w:num w:numId="8" w16cid:durableId="53545971">
    <w:abstractNumId w:val="6"/>
  </w:num>
  <w:num w:numId="9" w16cid:durableId="1900438523">
    <w:abstractNumId w:val="17"/>
  </w:num>
  <w:num w:numId="10" w16cid:durableId="1587568046">
    <w:abstractNumId w:val="15"/>
  </w:num>
  <w:num w:numId="11" w16cid:durableId="287322155">
    <w:abstractNumId w:val="3"/>
  </w:num>
  <w:num w:numId="12" w16cid:durableId="746437">
    <w:abstractNumId w:val="13"/>
  </w:num>
  <w:num w:numId="13" w16cid:durableId="2120299887">
    <w:abstractNumId w:val="2"/>
  </w:num>
  <w:num w:numId="14" w16cid:durableId="584074846">
    <w:abstractNumId w:val="1"/>
  </w:num>
  <w:num w:numId="15" w16cid:durableId="975991900">
    <w:abstractNumId w:val="9"/>
  </w:num>
  <w:num w:numId="16" w16cid:durableId="1554585347">
    <w:abstractNumId w:val="20"/>
  </w:num>
  <w:num w:numId="17" w16cid:durableId="1020815772">
    <w:abstractNumId w:val="11"/>
  </w:num>
  <w:num w:numId="18" w16cid:durableId="1098208796">
    <w:abstractNumId w:val="16"/>
  </w:num>
  <w:num w:numId="19" w16cid:durableId="1007248860">
    <w:abstractNumId w:val="10"/>
  </w:num>
  <w:num w:numId="20" w16cid:durableId="392117699">
    <w:abstractNumId w:val="19"/>
  </w:num>
  <w:num w:numId="21" w16cid:durableId="1381203337">
    <w:abstractNumId w:val="0"/>
  </w:num>
  <w:num w:numId="22" w16cid:durableId="376242747">
    <w:abstractNumId w:val="21"/>
  </w:num>
  <w:num w:numId="23" w16cid:durableId="297418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0"/>
    <w:rsid w:val="00075B04"/>
    <w:rsid w:val="00105571"/>
    <w:rsid w:val="00211A4B"/>
    <w:rsid w:val="002575E0"/>
    <w:rsid w:val="002A6E1F"/>
    <w:rsid w:val="0030483E"/>
    <w:rsid w:val="0032414D"/>
    <w:rsid w:val="003606C8"/>
    <w:rsid w:val="003F79CE"/>
    <w:rsid w:val="00456390"/>
    <w:rsid w:val="0052739F"/>
    <w:rsid w:val="00573938"/>
    <w:rsid w:val="00673921"/>
    <w:rsid w:val="00677D2A"/>
    <w:rsid w:val="006A1056"/>
    <w:rsid w:val="006F53FC"/>
    <w:rsid w:val="0072537C"/>
    <w:rsid w:val="007D283F"/>
    <w:rsid w:val="00897796"/>
    <w:rsid w:val="008A41F9"/>
    <w:rsid w:val="008D4C9D"/>
    <w:rsid w:val="009120B7"/>
    <w:rsid w:val="009E4952"/>
    <w:rsid w:val="00A93954"/>
    <w:rsid w:val="00A97E00"/>
    <w:rsid w:val="00B43486"/>
    <w:rsid w:val="00BF2EEC"/>
    <w:rsid w:val="00C15C0F"/>
    <w:rsid w:val="00C70B7C"/>
    <w:rsid w:val="00D16763"/>
    <w:rsid w:val="00DE2A4B"/>
    <w:rsid w:val="00E74EA0"/>
    <w:rsid w:val="00EA1492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5429"/>
  <w15:docId w15:val="{EC79DA64-7580-47D6-9F42-E4A59F8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435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E0B63"/>
    <w:rPr>
      <w:rFonts w:ascii="Arial" w:hAnsi="Arial" w:cs="Times New Roman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FD43F4"/>
    <w:rPr>
      <w:rFonts w:eastAsia="Times New Roman" w:cs="Times New Roman"/>
      <w:lang w:val="pl-PL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qFormat/>
    <w:rsid w:val="00FD43F4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FD43F4"/>
    <w:rPr>
      <w:rFonts w:cs="Times New Roman"/>
      <w:color w:val="50505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61729"/>
    <w:rPr>
      <w:rFonts w:cs="Times New Roman"/>
      <w:sz w:val="16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F53591"/>
    <w:rPr>
      <w:rFonts w:asciiTheme="minorHAnsi" w:hAnsiTheme="minorHAnsi" w:cstheme="minorHAns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qFormat/>
    <w:rsid w:val="00FD43F4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ED0FAB"/>
    <w:rPr>
      <w:rFonts w:eastAsia="Times New Roman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021909"/>
    <w:rPr>
      <w:rFonts w:eastAsia="Times New Roman" w:cs="Times New Roman"/>
      <w:bCs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F7435"/>
  </w:style>
  <w:style w:type="character" w:customStyle="1" w:styleId="ZnakZnak">
    <w:name w:val="Znak Znak"/>
    <w:uiPriority w:val="99"/>
    <w:qFormat/>
    <w:rsid w:val="00474DCD"/>
    <w:rPr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locked/>
    <w:rsid w:val="009904EC"/>
    <w:rPr>
      <w:rFonts w:eastAsia="Times New Roman"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qFormat/>
    <w:rsid w:val="009904EC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61729"/>
    <w:rPr>
      <w:rFonts w:cs="Times New Roman"/>
      <w:sz w:val="24"/>
    </w:rPr>
  </w:style>
  <w:style w:type="character" w:customStyle="1" w:styleId="PrzypisZnak">
    <w:name w:val="Przypis Znak"/>
    <w:basedOn w:val="TekstprzypisudolnegoZnak"/>
    <w:link w:val="Przypis"/>
    <w:qFormat/>
    <w:rsid w:val="00E53584"/>
    <w:rPr>
      <w:rFonts w:eastAsia="Times New Roman" w:cs="Times New Roman"/>
      <w:lang w:val="pl-PL" w:eastAsia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rsid w:val="001E6A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rsid w:val="00FD43F4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FD43F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1909"/>
    <w:rPr>
      <w:bCs/>
      <w:sz w:val="22"/>
    </w:rPr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0F7435"/>
  </w:style>
  <w:style w:type="paragraph" w:customStyle="1" w:styleId="Tekstpodstawowy21">
    <w:name w:val="Tekst podstawowy 21"/>
    <w:basedOn w:val="Normalny"/>
    <w:uiPriority w:val="99"/>
    <w:qFormat/>
    <w:rsid w:val="00054E82"/>
    <w:rPr>
      <w:sz w:val="28"/>
      <w:szCs w:val="24"/>
      <w:lang w:eastAsia="ar-SA"/>
    </w:rPr>
  </w:style>
  <w:style w:type="paragraph" w:customStyle="1" w:styleId="Guidelines2">
    <w:name w:val="Guidelines 2"/>
    <w:basedOn w:val="Normalny"/>
    <w:uiPriority w:val="99"/>
    <w:qFormat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uiPriority w:val="99"/>
    <w:semiHidden/>
    <w:qFormat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table" w:customStyle="1" w:styleId="Tabela-Siatka1">
    <w:name w:val="Tabela - Siatka1"/>
    <w:basedOn w:val="Standardowy"/>
    <w:uiPriority w:val="39"/>
    <w:rsid w:val="00DE194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E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456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tkac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7" ma:contentTypeDescription="Utwórz nowy dokument." ma:contentTypeScope="" ma:versionID="71611e7b9a5241c476362f2accd65a70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510b29b9e2b559e7073f1e82d5922f9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6BBCAD-5212-43EC-BEF6-B2330E03A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8D473-DF44-4DD2-9630-3ABE6CF2D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A12A-F620-4AB0-A3A6-3FFB36A13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74FDC-F70A-431B-BDAC-9FE544DE73E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30020a-a5f2-4974-9e2d-59c9b0b9308e"/>
    <ds:schemaRef ds:uri="http://schemas.microsoft.com/office/infopath/2007/PartnerControls"/>
    <ds:schemaRef ds:uri="http://purl.org/dc/elements/1.1/"/>
    <ds:schemaRef ds:uri="http://schemas.microsoft.com/office/2006/metadata/properties"/>
    <ds:schemaRef ds:uri="b66bf1b7-82be-488e-816e-b235b022b5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3318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Urząd Miasta Stołecznego Warszawy</Company>
  <LinksUpToDate>false</LinksUpToDate>
  <CharactersWithSpaces>23184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dc:description/>
  <cp:lastModifiedBy>Dziedzic-Kurpińska Anna (GP)</cp:lastModifiedBy>
  <cp:revision>4</cp:revision>
  <cp:lastPrinted>2025-07-09T09:50:00Z</cp:lastPrinted>
  <dcterms:created xsi:type="dcterms:W3CDTF">2025-07-09T10:39:00Z</dcterms:created>
  <dcterms:modified xsi:type="dcterms:W3CDTF">2025-07-11T11:31:00Z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